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342" w:rsidRPr="00E55342" w:rsidRDefault="00E55342" w:rsidP="00337588">
      <w:pPr>
        <w:spacing w:after="60"/>
        <w:ind w:left="851" w:right="426" w:firstLine="142"/>
        <w:jc w:val="both"/>
        <w:rPr>
          <w:rStyle w:val="lev"/>
          <w:rFonts w:eastAsia="MS Mincho"/>
          <w:b w:val="0"/>
        </w:rPr>
      </w:pPr>
      <w:r w:rsidRPr="00E55342">
        <w:rPr>
          <w:rStyle w:val="lev"/>
          <w:rFonts w:eastAsia="MS Mincho"/>
        </w:rPr>
        <w:t>Voici</w:t>
      </w:r>
      <w:r w:rsidR="004F64B9">
        <w:rPr>
          <w:rStyle w:val="lev"/>
          <w:rFonts w:eastAsia="MS Mincho"/>
        </w:rPr>
        <w:t xml:space="preserve">, publié sur </w:t>
      </w:r>
      <w:hyperlink r:id="rId7" w:history="1">
        <w:r w:rsidR="004F64B9" w:rsidRPr="00B9669E">
          <w:rPr>
            <w:rStyle w:val="Lienhypertexte"/>
            <w:rFonts w:eastAsia="MS Mincho"/>
          </w:rPr>
          <w:t>www.shobogenzo.eu</w:t>
        </w:r>
      </w:hyperlink>
      <w:r w:rsidR="004F64B9">
        <w:rPr>
          <w:rStyle w:val="lev"/>
          <w:rFonts w:eastAsia="MS Mincho"/>
        </w:rPr>
        <w:t xml:space="preserve"> </w:t>
      </w:r>
      <w:r w:rsidRPr="00E55342">
        <w:rPr>
          <w:rStyle w:val="lev"/>
          <w:rFonts w:eastAsia="MS Mincho"/>
        </w:rPr>
        <w:t xml:space="preserve">le texte de </w:t>
      </w:r>
      <w:proofErr w:type="spellStart"/>
      <w:r w:rsidRPr="00E55342">
        <w:rPr>
          <w:rStyle w:val="lev"/>
          <w:i/>
        </w:rPr>
        <w:t>Zenki</w:t>
      </w:r>
      <w:proofErr w:type="spellEnd"/>
      <w:r w:rsidRPr="00E55342">
        <w:rPr>
          <w:b/>
        </w:rPr>
        <w:t xml:space="preserve">, </w:t>
      </w:r>
      <w:r w:rsidRPr="00E55342">
        <w:rPr>
          <w:rStyle w:val="lev"/>
          <w:rFonts w:eastAsia="MS Mincho"/>
        </w:rPr>
        <w:t xml:space="preserve">étudié avec Yoko </w:t>
      </w:r>
      <w:proofErr w:type="spellStart"/>
      <w:r w:rsidRPr="00E55342">
        <w:rPr>
          <w:rStyle w:val="lev"/>
          <w:rFonts w:eastAsia="MS Mincho"/>
        </w:rPr>
        <w:t>Orimo</w:t>
      </w:r>
      <w:proofErr w:type="spellEnd"/>
      <w:r w:rsidRPr="00E55342">
        <w:rPr>
          <w:rStyle w:val="lev"/>
          <w:rFonts w:eastAsia="MS Mincho"/>
        </w:rPr>
        <w:t xml:space="preserve"> dans l'atelier à l'Institut d'</w:t>
      </w:r>
      <w:proofErr w:type="spellStart"/>
      <w:r w:rsidRPr="00E55342">
        <w:rPr>
          <w:rStyle w:val="lev"/>
          <w:rFonts w:eastAsia="MS Mincho"/>
        </w:rPr>
        <w:t>Etudes</w:t>
      </w:r>
      <w:proofErr w:type="spellEnd"/>
      <w:r w:rsidRPr="00E55342">
        <w:rPr>
          <w:rStyle w:val="lev"/>
          <w:rFonts w:eastAsia="MS Mincho"/>
        </w:rPr>
        <w:t xml:space="preserve"> Bouddhiques du 12 octobre 2015 (1 seule séance). </w:t>
      </w:r>
    </w:p>
    <w:p w:rsidR="00E55342" w:rsidRDefault="00E55342" w:rsidP="00E55342">
      <w:pPr>
        <w:spacing w:after="0"/>
        <w:ind w:left="851" w:right="426" w:firstLine="142"/>
        <w:jc w:val="both"/>
      </w:pPr>
      <w:proofErr w:type="spellStart"/>
      <w:r w:rsidRPr="00E55342">
        <w:rPr>
          <w:rFonts w:eastAsia="Times New Roman" w:cs="Times New Roman"/>
          <w:b/>
          <w:bCs/>
          <w:i/>
          <w:iCs/>
          <w:lang w:eastAsia="fr-FR"/>
        </w:rPr>
        <w:t>Zenki</w:t>
      </w:r>
      <w:proofErr w:type="spellEnd"/>
      <w:r w:rsidRPr="00E55342">
        <w:rPr>
          <w:rFonts w:eastAsia="Times New Roman" w:cs="Times New Roman"/>
          <w:b/>
          <w:bCs/>
          <w:i/>
          <w:iCs/>
          <w:lang w:eastAsia="fr-FR"/>
        </w:rPr>
        <w:t xml:space="preserve"> (La totalité dynamique)</w:t>
      </w:r>
      <w:r w:rsidRPr="00E55342">
        <w:rPr>
          <w:rFonts w:eastAsia="Times New Roman" w:cs="Times New Roman"/>
          <w:b/>
          <w:bCs/>
          <w:lang w:eastAsia="fr-FR"/>
        </w:rPr>
        <w:t xml:space="preserve"> </w:t>
      </w:r>
      <w:r w:rsidRPr="00E55342">
        <w:t xml:space="preserve">est traduit en français dans le </w:t>
      </w:r>
      <w:r w:rsidRPr="00E55342">
        <w:rPr>
          <w:rStyle w:val="Accentuation"/>
        </w:rPr>
        <w:t xml:space="preserve">tome 2 </w:t>
      </w:r>
      <w:r w:rsidRPr="00E55342">
        <w:t xml:space="preserve">de la Traduction intégrale du </w:t>
      </w:r>
      <w:proofErr w:type="spellStart"/>
      <w:r w:rsidRPr="00E55342">
        <w:rPr>
          <w:rStyle w:val="Accentuation"/>
        </w:rPr>
        <w:t>Shôbôgenzô</w:t>
      </w:r>
      <w:proofErr w:type="spellEnd"/>
      <w:r w:rsidRPr="00E55342">
        <w:rPr>
          <w:rStyle w:val="Accentuation"/>
        </w:rPr>
        <w:t xml:space="preserve"> (La Vraie Loi, Trésor de l'œil)</w:t>
      </w:r>
      <w:r w:rsidRPr="00E55342">
        <w:t xml:space="preserve"> de Yoko </w:t>
      </w:r>
      <w:proofErr w:type="spellStart"/>
      <w:r w:rsidRPr="00E55342">
        <w:t>Orimo</w:t>
      </w:r>
      <w:proofErr w:type="spellEnd"/>
      <w:r w:rsidRPr="00E55342">
        <w:t xml:space="preserve"> (Ed. Sully). Le texte japonais ci-dessous est </w:t>
      </w:r>
      <w:r w:rsidRPr="00E55342">
        <w:rPr>
          <w:b/>
        </w:rPr>
        <w:t>à peu près</w:t>
      </w:r>
      <w:r w:rsidRPr="00E55342">
        <w:t xml:space="preserve"> présenté en paragraphes comme dans le livre </w:t>
      </w:r>
      <w:proofErr w:type="gramStart"/>
      <w:r w:rsidRPr="00E55342">
        <w:t>de Y</w:t>
      </w:r>
      <w:proofErr w:type="gramEnd"/>
      <w:r w:rsidRPr="00E55342">
        <w:t xml:space="preserve">. </w:t>
      </w:r>
      <w:proofErr w:type="spellStart"/>
      <w:r w:rsidRPr="00E55342">
        <w:t>Orimo</w:t>
      </w:r>
      <w:proofErr w:type="spellEnd"/>
      <w:r w:rsidRPr="00E55342">
        <w:t xml:space="preserve"> pour faciliter la recherche. </w:t>
      </w:r>
    </w:p>
    <w:p w:rsidR="00E55342" w:rsidRPr="00E55342" w:rsidRDefault="00E55342" w:rsidP="00E55342">
      <w:pPr>
        <w:spacing w:after="0"/>
        <w:ind w:left="851" w:right="426" w:firstLine="142"/>
        <w:jc w:val="both"/>
        <w:rPr>
          <w:rStyle w:val="lev"/>
          <w:b w:val="0"/>
          <w:bCs w:val="0"/>
        </w:rPr>
      </w:pPr>
      <w:r>
        <w:t>Ce texte est le n° 22 de la Nouvelle Édition.</w:t>
      </w:r>
    </w:p>
    <w:p w:rsidR="00E55342" w:rsidRDefault="00E55342" w:rsidP="00E55342">
      <w:pPr>
        <w:pStyle w:val="NormalWeb"/>
        <w:spacing w:before="0" w:beforeAutospacing="0" w:after="0" w:afterAutospacing="0"/>
        <w:rPr>
          <w:rStyle w:val="lev"/>
          <w:rFonts w:ascii="MS Gothic" w:eastAsia="MS Gothic" w:hAnsi="MS Gothic" w:cs="MS Gothic"/>
          <w:sz w:val="29"/>
          <w:szCs w:val="29"/>
        </w:rPr>
      </w:pPr>
    </w:p>
    <w:p w:rsidR="00D2559A" w:rsidRPr="001C4569" w:rsidRDefault="00D2559A" w:rsidP="00E55342">
      <w:pPr>
        <w:pStyle w:val="NormalWeb"/>
        <w:spacing w:before="0" w:beforeAutospacing="0" w:after="0" w:afterAutospacing="0"/>
        <w:jc w:val="center"/>
        <w:rPr>
          <w:rFonts w:ascii="MS Mincho" w:eastAsia="MS Mincho" w:hAnsi="MS Mincho"/>
          <w:sz w:val="32"/>
          <w:szCs w:val="32"/>
        </w:rPr>
      </w:pPr>
      <w:proofErr w:type="spellStart"/>
      <w:r w:rsidRPr="001C4569">
        <w:rPr>
          <w:rStyle w:val="lev"/>
          <w:rFonts w:ascii="MS Mincho" w:eastAsia="MS Mincho" w:hAnsi="MS Mincho" w:cs="MS Gothic" w:hint="eastAsia"/>
          <w:sz w:val="32"/>
          <w:szCs w:val="32"/>
        </w:rPr>
        <w:t>正法眼蔵第二十二</w:t>
      </w:r>
      <w:proofErr w:type="spellEnd"/>
      <w:r w:rsidRPr="001C4569">
        <w:rPr>
          <w:rStyle w:val="lev"/>
          <w:rFonts w:ascii="MS Mincho" w:eastAsia="MS Mincho" w:hAnsi="MS Mincho" w:cs="MS Gothic" w:hint="eastAsia"/>
          <w:sz w:val="32"/>
          <w:szCs w:val="32"/>
        </w:rPr>
        <w:t xml:space="preserve">　</w:t>
      </w:r>
      <w:proofErr w:type="spellStart"/>
      <w:r w:rsidRPr="001C4569">
        <w:rPr>
          <w:rStyle w:val="lev"/>
          <w:rFonts w:ascii="MS Mincho" w:eastAsia="MS Mincho" w:hAnsi="MS Mincho" w:cs="MS Gothic" w:hint="eastAsia"/>
          <w:sz w:val="32"/>
          <w:szCs w:val="32"/>
        </w:rPr>
        <w:t>全機</w:t>
      </w:r>
      <w:proofErr w:type="spellEnd"/>
    </w:p>
    <w:p w:rsidR="00EA13EF" w:rsidRPr="001C4569" w:rsidRDefault="00D2559A" w:rsidP="001C4569">
      <w:pPr>
        <w:pStyle w:val="NormalWeb"/>
        <w:spacing w:before="0" w:beforeAutospacing="0" w:after="0" w:afterAutospacing="0" w:line="360" w:lineRule="auto"/>
        <w:rPr>
          <w:rStyle w:val="lev"/>
          <w:rFonts w:ascii="MS Mincho" w:eastAsia="MS Mincho" w:hAnsi="MS Mincho" w:cs="MS Mincho"/>
          <w:sz w:val="32"/>
          <w:szCs w:val="32"/>
        </w:rPr>
      </w:pPr>
      <w:r w:rsidRPr="001C4569">
        <w:rPr>
          <w:rStyle w:val="lev"/>
          <w:rFonts w:ascii="MS Mincho" w:eastAsia="MS Mincho" w:hAnsi="MS Mincho" w:cs="MS Mincho" w:hint="eastAsia"/>
          <w:sz w:val="32"/>
          <w:szCs w:val="32"/>
        </w:rPr>
        <w:t xml:space="preserve">　諸仏の大道、その究尽するところ、透脱なり、現成なり。その透脱といふは、あるいは生も生を透脱し、死も死を透脱するなり。このゆゑに、出生死あり、入生死あり。ともに究尽の大道なり。捨生死あり、度生死あり。ともに究尽の大道なり。現成これ生なり、生これ現成なり、その現成のとき、生の全現成にあらずといふことなし、死の全現成にあらずといふことなし。この機関、よく生ならしめ、よく死ならしむ。</w:t>
      </w:r>
    </w:p>
    <w:p w:rsidR="00337588" w:rsidRDefault="00337588" w:rsidP="00337588">
      <w:pPr>
        <w:pStyle w:val="NormalWeb"/>
        <w:spacing w:before="0" w:beforeAutospacing="0" w:after="0" w:afterAutospacing="0" w:line="360" w:lineRule="auto"/>
        <w:rPr>
          <w:rStyle w:val="lev"/>
          <w:rFonts w:ascii="MS Mincho" w:eastAsia="MS Mincho" w:hAnsi="MS Mincho" w:cs="MS Mincho"/>
          <w:sz w:val="32"/>
          <w:szCs w:val="32"/>
        </w:rPr>
      </w:pPr>
      <w:r>
        <w:rPr>
          <w:rStyle w:val="lev"/>
          <w:rFonts w:ascii="MS Mincho" w:eastAsia="MS Mincho" w:hAnsi="MS Mincho" w:cs="MS Mincho"/>
          <w:sz w:val="32"/>
          <w:szCs w:val="32"/>
        </w:rPr>
        <w:t xml:space="preserve"> </w:t>
      </w:r>
      <w:r w:rsidR="00D2559A" w:rsidRPr="001C4569">
        <w:rPr>
          <w:rStyle w:val="lev"/>
          <w:rFonts w:ascii="MS Mincho" w:eastAsia="MS Mincho" w:hAnsi="MS Mincho" w:cs="MS Mincho" w:hint="eastAsia"/>
          <w:sz w:val="32"/>
          <w:szCs w:val="32"/>
        </w:rPr>
        <w:t>この機関の現成する正当恁麼時、かならずしも大にあらず、かならずしも小にあらず。遍界にあらず、局量にあらず。長遠にあらず、短促にあらず。いまの生はこの機関にあり、この機関はいまの生にあり。生は来にあらず、生は去にあらず。</w:t>
      </w:r>
    </w:p>
    <w:p w:rsidR="00950354" w:rsidRPr="001C4569" w:rsidRDefault="00D2559A" w:rsidP="00337588">
      <w:pPr>
        <w:pStyle w:val="NormalWeb"/>
        <w:spacing w:before="0" w:beforeAutospacing="0" w:after="0" w:afterAutospacing="0" w:line="360" w:lineRule="auto"/>
        <w:rPr>
          <w:rStyle w:val="lev"/>
          <w:rFonts w:ascii="MS Mincho" w:eastAsia="MS Mincho" w:hAnsi="MS Mincho"/>
          <w:b w:val="0"/>
          <w:bCs w:val="0"/>
          <w:sz w:val="32"/>
          <w:szCs w:val="32"/>
        </w:rPr>
      </w:pPr>
      <w:r w:rsidRPr="001C4569">
        <w:rPr>
          <w:rStyle w:val="lev"/>
          <w:rFonts w:ascii="MS Mincho" w:eastAsia="MS Mincho" w:hAnsi="MS Mincho" w:cs="MS Mincho" w:hint="eastAsia"/>
          <w:sz w:val="32"/>
          <w:szCs w:val="32"/>
        </w:rPr>
        <w:t>生は現にあらず、生は成にあらざるなり。しかあれども、生は全機現なり、死は全機現なり</w:t>
      </w:r>
      <w:r w:rsidRPr="00337588">
        <w:rPr>
          <w:rStyle w:val="lev"/>
          <w:rFonts w:ascii="MS Mincho" w:eastAsia="MS Mincho" w:hAnsi="MS Mincho" w:cs="MS Mincho" w:hint="eastAsia"/>
          <w:sz w:val="26"/>
          <w:szCs w:val="26"/>
        </w:rPr>
        <w:t>。</w:t>
      </w:r>
      <w:r w:rsidRPr="001C4569">
        <w:rPr>
          <w:rStyle w:val="lev"/>
          <w:rFonts w:ascii="MS Mincho" w:eastAsia="MS Mincho" w:hAnsi="MS Mincho" w:cs="MS Mincho" w:hint="eastAsia"/>
          <w:sz w:val="32"/>
          <w:szCs w:val="32"/>
        </w:rPr>
        <w:t>しるべし、自己に無量の法あるなかに、生あり、死あるなり。しづかに思量すべし、いまこの生、および生と同生せるところの衆法は、生にともなりとやせ</w:t>
      </w:r>
      <w:r w:rsidRPr="001C4569">
        <w:rPr>
          <w:rStyle w:val="lev"/>
          <w:rFonts w:ascii="MS Mincho" w:eastAsia="MS Mincho" w:hAnsi="MS Mincho" w:cs="MS Mincho" w:hint="eastAsia"/>
          <w:sz w:val="32"/>
          <w:szCs w:val="32"/>
        </w:rPr>
        <w:lastRenderedPageBreak/>
        <w:t>ん、生にともならずとやせん。一時一法としても、生にともならざることなし、一事一心としても、生にともならざるなし。</w:t>
      </w:r>
    </w:p>
    <w:p w:rsidR="00EA13EF" w:rsidRPr="001C4569" w:rsidRDefault="00EA13EF" w:rsidP="001C4569">
      <w:pPr>
        <w:pStyle w:val="NormalWeb"/>
        <w:spacing w:before="0" w:beforeAutospacing="0" w:after="0" w:afterAutospacing="0" w:line="360" w:lineRule="auto"/>
        <w:rPr>
          <w:rStyle w:val="lev"/>
          <w:rFonts w:ascii="MS Mincho" w:eastAsia="MS Mincho" w:hAnsi="MS Mincho" w:cs="MS Mincho"/>
          <w:sz w:val="32"/>
          <w:szCs w:val="32"/>
        </w:rPr>
      </w:pPr>
    </w:p>
    <w:p w:rsidR="00D2559A" w:rsidRPr="001C4569" w:rsidRDefault="00D2559A" w:rsidP="001C4569">
      <w:pPr>
        <w:pStyle w:val="NormalWeb"/>
        <w:spacing w:before="0" w:beforeAutospacing="0" w:after="0" w:afterAutospacing="0" w:line="360" w:lineRule="auto"/>
        <w:rPr>
          <w:rFonts w:ascii="MS Mincho" w:eastAsia="MS Mincho" w:hAnsi="MS Mincho" w:cs="MS Mincho"/>
          <w:b/>
          <w:bCs/>
          <w:sz w:val="32"/>
          <w:szCs w:val="32"/>
        </w:rPr>
      </w:pPr>
      <w:r w:rsidRPr="001C4569">
        <w:rPr>
          <w:rStyle w:val="lev"/>
          <w:rFonts w:ascii="MS Mincho" w:eastAsia="MS Mincho" w:hAnsi="MS Mincho" w:cs="MS Mincho" w:hint="eastAsia"/>
          <w:sz w:val="32"/>
          <w:szCs w:val="32"/>
        </w:rPr>
        <w:t>生といふは、たとへば、人のふねにのれるときのごとし。このふねは、われ帆をつかひ、われかぢをとれり。われさをさすといへども、ふねわれをのせて、ふねのほかにわれなし。われふねにのりて、このふねをもふねならしむ。この正当恁麼時を功夫参学すべし。この正当恁麼時は、舟の世界にあらざることなし。天も水も岸もみな舟の時節となれり、さらに舟にあらざる時節と同じからず。このゆゑに、生はわが生ぜしむるなり、われをば生のわれならしむるなり。舟にのれるには、身心依正、ともに舟の機関なり。尽大地尽虚空、ともに舟の機関なり。生なるわれ、われなる生、それかくのごとし。</w:t>
      </w:r>
    </w:p>
    <w:p w:rsidR="00E55342" w:rsidRPr="001C4569" w:rsidRDefault="00E55342" w:rsidP="001C4569">
      <w:pPr>
        <w:pStyle w:val="NormalWeb"/>
        <w:spacing w:before="120" w:beforeAutospacing="0" w:after="120" w:afterAutospacing="0" w:line="360" w:lineRule="auto"/>
        <w:jc w:val="center"/>
        <w:rPr>
          <w:rStyle w:val="lev"/>
          <w:rFonts w:ascii="MS Mincho" w:eastAsia="MS Mincho" w:hAnsi="MS Mincho"/>
          <w:sz w:val="32"/>
          <w:szCs w:val="32"/>
        </w:rPr>
      </w:pPr>
      <w:r w:rsidRPr="001C4569">
        <w:rPr>
          <w:rFonts w:ascii="MS Mincho" w:eastAsia="MS Mincho" w:hAnsi="MS Mincho" w:cs="MS Mincho"/>
          <w:sz w:val="32"/>
          <w:szCs w:val="32"/>
        </w:rPr>
        <w:t>*</w:t>
      </w:r>
    </w:p>
    <w:p w:rsidR="00950354" w:rsidRPr="001C4569" w:rsidRDefault="00D2559A" w:rsidP="001C4569">
      <w:pPr>
        <w:pStyle w:val="NormalWeb"/>
        <w:spacing w:before="0" w:beforeAutospacing="0" w:after="0" w:afterAutospacing="0" w:line="360" w:lineRule="auto"/>
        <w:rPr>
          <w:rStyle w:val="lev"/>
          <w:rFonts w:ascii="MS Mincho" w:eastAsia="MS Mincho" w:hAnsi="MS Mincho" w:cs="MS Mincho"/>
          <w:sz w:val="32"/>
          <w:szCs w:val="32"/>
        </w:rPr>
      </w:pPr>
      <w:proofErr w:type="spellStart"/>
      <w:r w:rsidRPr="001C4569">
        <w:rPr>
          <w:rStyle w:val="lev"/>
          <w:rFonts w:ascii="MS Mincho" w:eastAsia="MS Mincho" w:hAnsi="MS Mincho" w:cs="MS Mincho" w:hint="eastAsia"/>
          <w:sz w:val="32"/>
          <w:szCs w:val="32"/>
        </w:rPr>
        <w:t>圓悟禅師克勤和尚云く、生也全機現、死也全機現</w:t>
      </w:r>
      <w:proofErr w:type="spellEnd"/>
      <w:r w:rsidRPr="001C4569">
        <w:rPr>
          <w:rStyle w:val="lev"/>
          <w:rFonts w:ascii="MS Mincho" w:eastAsia="MS Mincho" w:hAnsi="MS Mincho" w:cs="MS Mincho" w:hint="eastAsia"/>
          <w:sz w:val="32"/>
          <w:szCs w:val="32"/>
        </w:rPr>
        <w:t>。</w:t>
      </w:r>
    </w:p>
    <w:p w:rsidR="009C04FC" w:rsidRPr="001C4569" w:rsidRDefault="00D2559A" w:rsidP="001C4569">
      <w:pPr>
        <w:pStyle w:val="NormalWeb"/>
        <w:spacing w:before="0" w:beforeAutospacing="0" w:after="0" w:afterAutospacing="0" w:line="360" w:lineRule="auto"/>
        <w:rPr>
          <w:rStyle w:val="lev"/>
          <w:rFonts w:ascii="MS Mincho" w:eastAsia="MS Mincho" w:hAnsi="MS Mincho" w:cs="MS Mincho"/>
          <w:sz w:val="32"/>
          <w:szCs w:val="32"/>
        </w:rPr>
      </w:pPr>
      <w:r w:rsidRPr="001C4569">
        <w:rPr>
          <w:rStyle w:val="lev"/>
          <w:rFonts w:ascii="MS Mincho" w:eastAsia="MS Mincho" w:hAnsi="MS Mincho" w:cs="MS Mincho" w:hint="eastAsia"/>
          <w:sz w:val="32"/>
          <w:szCs w:val="32"/>
        </w:rPr>
        <w:t>この道取、あきらめ参究すべし。参究すといふは、生也全機現の道理、はじめ、をはりにかかはれず、尽大地・尽虚空なりといへども、生也全機現をあひ罣礙せざるのみにあらず、死也全機現をも罣礙せざるなり。死也全機現のとき、尽大地・尽虚空なりといへども、死也全機現をあひ罣礙せざるのみにあらず、生也全機現をも罣礙せざるなり。このゆゑに、生は死を罣礙せず、死は生を罣礙せざるなり。尽大地・尽虚空、ともに生にも</w:t>
      </w:r>
      <w:r w:rsidRPr="001C4569">
        <w:rPr>
          <w:rStyle w:val="lev"/>
          <w:rFonts w:ascii="MS Mincho" w:eastAsia="MS Mincho" w:hAnsi="MS Mincho" w:cs="MS Mincho" w:hint="eastAsia"/>
          <w:sz w:val="32"/>
          <w:szCs w:val="32"/>
        </w:rPr>
        <w:lastRenderedPageBreak/>
        <w:t>あり、死にもあり。しかあれども、一枚の尽大地、一枚の尽虚空を、生にも全機し、死にも全機するにはあらざるなり。一にあらざれども異にあらず、異にあらざれども即にあらず、即にあらざれども多にあらず。このゆゑに、生にも全機現の衆法あり、死にも全機現の衆法あり、生にあらず死にあらざるにも全機現あり。全機現に生あり、死あり。</w:t>
      </w:r>
    </w:p>
    <w:p w:rsidR="00EA13EF" w:rsidRPr="001C4569" w:rsidRDefault="00EA13EF" w:rsidP="001C4569">
      <w:pPr>
        <w:pStyle w:val="NormalWeb"/>
        <w:spacing w:before="0" w:beforeAutospacing="0" w:after="0" w:afterAutospacing="0" w:line="360" w:lineRule="auto"/>
        <w:rPr>
          <w:rStyle w:val="lev"/>
          <w:rFonts w:ascii="MS Mincho" w:eastAsia="MS Mincho" w:hAnsi="MS Mincho" w:cs="MS Mincho"/>
          <w:sz w:val="32"/>
          <w:szCs w:val="32"/>
        </w:rPr>
      </w:pPr>
    </w:p>
    <w:p w:rsidR="00D2559A" w:rsidRPr="001C4569" w:rsidRDefault="00D2559A" w:rsidP="001C4569">
      <w:pPr>
        <w:pStyle w:val="NormalWeb"/>
        <w:spacing w:before="0" w:beforeAutospacing="0" w:after="0" w:afterAutospacing="0" w:line="360" w:lineRule="auto"/>
        <w:rPr>
          <w:rStyle w:val="lev"/>
          <w:rFonts w:ascii="MS Mincho" w:eastAsia="MS Mincho" w:hAnsi="MS Mincho" w:cs="MS Mincho"/>
          <w:sz w:val="32"/>
          <w:szCs w:val="32"/>
        </w:rPr>
      </w:pPr>
      <w:bookmarkStart w:id="0" w:name="_GoBack"/>
      <w:bookmarkEnd w:id="0"/>
      <w:r w:rsidRPr="001C4569">
        <w:rPr>
          <w:rStyle w:val="lev"/>
          <w:rFonts w:ascii="MS Mincho" w:eastAsia="MS Mincho" w:hAnsi="MS Mincho" w:cs="MS Mincho" w:hint="eastAsia"/>
          <w:sz w:val="32"/>
          <w:szCs w:val="32"/>
        </w:rPr>
        <w:t>このゆゑに、生死の全機は、壮士の臂を屈伸するがごとくにもあるべし。如人夜間背手摸枕子にてもあるべし。これに許多の神通光明ありて現成するなり。正当現成のときは、現成に全機せらるるによりて、現成よりさきに現成あらざりつると見解するなり。しかあれども、この現成よりさきは、さきの全機現なり。さきの全機現ありといへども、いまの全機現を罣礙せざるなり。このゆゑにしかのごとくの見解、きほひ</w:t>
      </w:r>
      <w:r w:rsidRPr="001C4569">
        <w:rPr>
          <w:rStyle w:val="lev"/>
          <w:rFonts w:ascii="MS Mincho" w:eastAsia="MS Mincho" w:hAnsi="MS Mincho"/>
          <w:sz w:val="32"/>
          <w:szCs w:val="32"/>
        </w:rPr>
        <w:t xml:space="preserve"> </w:t>
      </w:r>
      <w:proofErr w:type="spellStart"/>
      <w:r w:rsidRPr="001C4569">
        <w:rPr>
          <w:rStyle w:val="lev"/>
          <w:rFonts w:ascii="MS Mincho" w:eastAsia="MS Mincho" w:hAnsi="MS Mincho" w:cs="MS Mincho" w:hint="eastAsia"/>
          <w:sz w:val="32"/>
          <w:szCs w:val="32"/>
        </w:rPr>
        <w:t>現成するなり</w:t>
      </w:r>
      <w:proofErr w:type="spellEnd"/>
      <w:r w:rsidRPr="001C4569">
        <w:rPr>
          <w:rStyle w:val="lev"/>
          <w:rFonts w:ascii="MS Mincho" w:eastAsia="MS Mincho" w:hAnsi="MS Mincho" w:cs="MS Mincho" w:hint="eastAsia"/>
          <w:sz w:val="32"/>
          <w:szCs w:val="32"/>
        </w:rPr>
        <w:t>。</w:t>
      </w:r>
    </w:p>
    <w:p w:rsidR="00E55342" w:rsidRPr="001C4569" w:rsidRDefault="00E55342" w:rsidP="001C4569">
      <w:pPr>
        <w:pStyle w:val="NormalWeb"/>
        <w:spacing w:before="0" w:beforeAutospacing="0" w:after="0" w:afterAutospacing="0" w:line="360" w:lineRule="auto"/>
        <w:rPr>
          <w:rFonts w:ascii="MS Mincho" w:eastAsia="MS Mincho" w:hAnsi="MS Mincho"/>
          <w:sz w:val="32"/>
          <w:szCs w:val="32"/>
        </w:rPr>
      </w:pPr>
    </w:p>
    <w:p w:rsidR="00D2559A" w:rsidRPr="001C4569" w:rsidRDefault="00D2559A" w:rsidP="001C4569">
      <w:pPr>
        <w:pStyle w:val="NormalWeb"/>
        <w:spacing w:before="0" w:beforeAutospacing="0" w:after="0" w:afterAutospacing="0" w:line="360" w:lineRule="auto"/>
        <w:jc w:val="center"/>
        <w:rPr>
          <w:rFonts w:ascii="MS Mincho" w:eastAsia="MS Mincho" w:hAnsi="MS Mincho"/>
          <w:sz w:val="32"/>
          <w:szCs w:val="32"/>
        </w:rPr>
      </w:pPr>
      <w:proofErr w:type="spellStart"/>
      <w:r w:rsidRPr="001C4569">
        <w:rPr>
          <w:rStyle w:val="lev"/>
          <w:rFonts w:ascii="MS Mincho" w:eastAsia="MS Mincho" w:hAnsi="MS Mincho" w:cs="MS Mincho" w:hint="eastAsia"/>
          <w:sz w:val="32"/>
          <w:szCs w:val="32"/>
        </w:rPr>
        <w:t>正法眼蔵全機第二十二</w:t>
      </w:r>
      <w:proofErr w:type="spellEnd"/>
    </w:p>
    <w:p w:rsidR="00D2559A" w:rsidRPr="001C4569" w:rsidRDefault="00D2559A" w:rsidP="001C4569">
      <w:pPr>
        <w:pStyle w:val="NormalWeb"/>
        <w:spacing w:before="0" w:beforeAutospacing="0" w:after="0" w:afterAutospacing="0" w:line="360" w:lineRule="auto"/>
        <w:jc w:val="center"/>
        <w:rPr>
          <w:rFonts w:ascii="MS Mincho" w:eastAsia="MS Mincho" w:hAnsi="MS Mincho"/>
          <w:sz w:val="32"/>
          <w:szCs w:val="32"/>
        </w:rPr>
      </w:pPr>
      <w:proofErr w:type="spellStart"/>
      <w:r w:rsidRPr="001C4569">
        <w:rPr>
          <w:rStyle w:val="lev"/>
          <w:rFonts w:ascii="MS Mincho" w:eastAsia="MS Mincho" w:hAnsi="MS Mincho" w:cs="MS Mincho" w:hint="eastAsia"/>
          <w:sz w:val="32"/>
          <w:szCs w:val="32"/>
        </w:rPr>
        <w:t>于時仁治三年壬寅十二月十七日在雍州六波羅蜜寺備前雲州刺史幕下示衆</w:t>
      </w:r>
      <w:proofErr w:type="spellEnd"/>
      <w:r w:rsidRPr="001C4569">
        <w:rPr>
          <w:rFonts w:ascii="MS Mincho" w:eastAsia="MS Mincho" w:hAnsi="MS Mincho"/>
          <w:b/>
          <w:bCs/>
          <w:sz w:val="32"/>
          <w:szCs w:val="32"/>
        </w:rPr>
        <w:br/>
      </w:r>
      <w:r w:rsidRPr="001C4569">
        <w:rPr>
          <w:rStyle w:val="lev"/>
          <w:rFonts w:ascii="MS Mincho" w:eastAsia="MS Mincho" w:hAnsi="MS Mincho" w:cs="MS Mincho" w:hint="eastAsia"/>
          <w:sz w:val="32"/>
          <w:szCs w:val="32"/>
        </w:rPr>
        <w:t xml:space="preserve">　　</w:t>
      </w:r>
      <w:proofErr w:type="spellStart"/>
      <w:r w:rsidRPr="001C4569">
        <w:rPr>
          <w:rStyle w:val="lev"/>
          <w:rFonts w:ascii="MS Mincho" w:eastAsia="MS Mincho" w:hAnsi="MS Mincho" w:cs="MS Mincho" w:hint="eastAsia"/>
          <w:sz w:val="32"/>
          <w:szCs w:val="32"/>
        </w:rPr>
        <w:t>同四年癸卯正月十九日書写之</w:t>
      </w:r>
      <w:proofErr w:type="spellEnd"/>
      <w:r w:rsidRPr="001C4569">
        <w:rPr>
          <w:rStyle w:val="lev"/>
          <w:rFonts w:ascii="MS Mincho" w:eastAsia="MS Mincho" w:hAnsi="MS Mincho" w:cs="MS Mincho" w:hint="eastAsia"/>
          <w:sz w:val="32"/>
          <w:szCs w:val="32"/>
        </w:rPr>
        <w:t xml:space="preserve">　</w:t>
      </w:r>
      <w:proofErr w:type="spellStart"/>
      <w:r w:rsidRPr="001C4569">
        <w:rPr>
          <w:rStyle w:val="lev"/>
          <w:rFonts w:ascii="MS Mincho" w:eastAsia="MS Mincho" w:hAnsi="MS Mincho" w:cs="MS Mincho" w:hint="eastAsia"/>
          <w:sz w:val="32"/>
          <w:szCs w:val="32"/>
        </w:rPr>
        <w:t>懐弉</w:t>
      </w:r>
      <w:proofErr w:type="spellEnd"/>
    </w:p>
    <w:p w:rsidR="00D2559A" w:rsidRDefault="00D2559A" w:rsidP="00E55342">
      <w:pPr>
        <w:pStyle w:val="NormalWeb"/>
        <w:spacing w:before="0" w:beforeAutospacing="0" w:after="0" w:afterAutospacing="0"/>
      </w:pPr>
      <w:r>
        <w:t xml:space="preserve">  </w:t>
      </w:r>
    </w:p>
    <w:sectPr w:rsidR="00D2559A" w:rsidSect="004F64B9">
      <w:head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888" w:rsidRDefault="00E30888" w:rsidP="004F64B9">
      <w:pPr>
        <w:spacing w:after="0" w:line="240" w:lineRule="auto"/>
      </w:pPr>
      <w:r>
        <w:separator/>
      </w:r>
    </w:p>
  </w:endnote>
  <w:endnote w:type="continuationSeparator" w:id="0">
    <w:p w:rsidR="00E30888" w:rsidRDefault="00E30888" w:rsidP="004F6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888" w:rsidRDefault="00E30888" w:rsidP="004F64B9">
      <w:pPr>
        <w:spacing w:after="0" w:line="240" w:lineRule="auto"/>
      </w:pPr>
      <w:r>
        <w:separator/>
      </w:r>
    </w:p>
  </w:footnote>
  <w:footnote w:type="continuationSeparator" w:id="0">
    <w:p w:rsidR="00E30888" w:rsidRDefault="00E30888" w:rsidP="004F64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804499"/>
      <w:docPartObj>
        <w:docPartGallery w:val="Page Numbers (Top of Page)"/>
        <w:docPartUnique/>
      </w:docPartObj>
    </w:sdtPr>
    <w:sdtEndPr/>
    <w:sdtContent>
      <w:p w:rsidR="004F64B9" w:rsidRDefault="004F64B9">
        <w:pPr>
          <w:pStyle w:val="En-tte"/>
          <w:jc w:val="right"/>
        </w:pPr>
        <w:proofErr w:type="spellStart"/>
        <w:r w:rsidRPr="004F64B9">
          <w:rPr>
            <w:sz w:val="20"/>
            <w:szCs w:val="20"/>
          </w:rPr>
          <w:t>Zenki</w:t>
        </w:r>
        <w:proofErr w:type="spellEnd"/>
        <w:r w:rsidRPr="004F64B9">
          <w:rPr>
            <w:sz w:val="20"/>
            <w:szCs w:val="20"/>
          </w:rPr>
          <w:t xml:space="preserve"> en japonais. Publié sur </w:t>
        </w:r>
        <w:hyperlink r:id="rId1" w:history="1">
          <w:r w:rsidRPr="004F64B9">
            <w:rPr>
              <w:rStyle w:val="Lienhypertexte"/>
              <w:sz w:val="20"/>
              <w:szCs w:val="20"/>
            </w:rPr>
            <w:t>www.shobogenzo.eu</w:t>
          </w:r>
        </w:hyperlink>
        <w:r>
          <w:t xml:space="preserve">                                           </w:t>
        </w:r>
        <w:r>
          <w:fldChar w:fldCharType="begin"/>
        </w:r>
        <w:r>
          <w:instrText>PAGE   \* MERGEFORMAT</w:instrText>
        </w:r>
        <w:r>
          <w:fldChar w:fldCharType="separate"/>
        </w:r>
        <w:r w:rsidR="00132EB1">
          <w:rPr>
            <w:noProof/>
          </w:rPr>
          <w:t>3</w:t>
        </w:r>
        <w:r>
          <w:fldChar w:fldCharType="end"/>
        </w:r>
      </w:p>
    </w:sdtContent>
  </w:sdt>
  <w:p w:rsidR="004F64B9" w:rsidRDefault="004F64B9">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2559A"/>
    <w:rsid w:val="00132EB1"/>
    <w:rsid w:val="001C4569"/>
    <w:rsid w:val="001E6B5E"/>
    <w:rsid w:val="00274B41"/>
    <w:rsid w:val="00337588"/>
    <w:rsid w:val="0035740C"/>
    <w:rsid w:val="004F64B9"/>
    <w:rsid w:val="00765D6E"/>
    <w:rsid w:val="00950354"/>
    <w:rsid w:val="009C04FC"/>
    <w:rsid w:val="00D2559A"/>
    <w:rsid w:val="00E30888"/>
    <w:rsid w:val="00E55342"/>
    <w:rsid w:val="00EA13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B4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2559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2559A"/>
    <w:rPr>
      <w:b/>
      <w:bCs/>
    </w:rPr>
  </w:style>
  <w:style w:type="paragraph" w:styleId="Textedebulles">
    <w:name w:val="Balloon Text"/>
    <w:basedOn w:val="Normal"/>
    <w:link w:val="TextedebullesCar"/>
    <w:uiPriority w:val="99"/>
    <w:semiHidden/>
    <w:unhideWhenUsed/>
    <w:rsid w:val="00E5534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55342"/>
    <w:rPr>
      <w:rFonts w:ascii="Tahoma" w:hAnsi="Tahoma" w:cs="Tahoma"/>
      <w:sz w:val="16"/>
      <w:szCs w:val="16"/>
    </w:rPr>
  </w:style>
  <w:style w:type="character" w:styleId="Accentuation">
    <w:name w:val="Emphasis"/>
    <w:basedOn w:val="Policepardfaut"/>
    <w:uiPriority w:val="20"/>
    <w:qFormat/>
    <w:rsid w:val="00E55342"/>
    <w:rPr>
      <w:i/>
      <w:iCs/>
    </w:rPr>
  </w:style>
  <w:style w:type="paragraph" w:styleId="En-tte">
    <w:name w:val="header"/>
    <w:basedOn w:val="Normal"/>
    <w:link w:val="En-tteCar"/>
    <w:uiPriority w:val="99"/>
    <w:unhideWhenUsed/>
    <w:rsid w:val="004F64B9"/>
    <w:pPr>
      <w:tabs>
        <w:tab w:val="center" w:pos="4536"/>
        <w:tab w:val="right" w:pos="9072"/>
      </w:tabs>
      <w:spacing w:after="0" w:line="240" w:lineRule="auto"/>
    </w:pPr>
  </w:style>
  <w:style w:type="character" w:customStyle="1" w:styleId="En-tteCar">
    <w:name w:val="En-tête Car"/>
    <w:basedOn w:val="Policepardfaut"/>
    <w:link w:val="En-tte"/>
    <w:uiPriority w:val="99"/>
    <w:rsid w:val="004F64B9"/>
  </w:style>
  <w:style w:type="paragraph" w:styleId="Pieddepage">
    <w:name w:val="footer"/>
    <w:basedOn w:val="Normal"/>
    <w:link w:val="PieddepageCar"/>
    <w:uiPriority w:val="99"/>
    <w:unhideWhenUsed/>
    <w:rsid w:val="004F64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64B9"/>
  </w:style>
  <w:style w:type="character" w:styleId="Lienhypertexte">
    <w:name w:val="Hyperlink"/>
    <w:basedOn w:val="Policepardfaut"/>
    <w:uiPriority w:val="99"/>
    <w:unhideWhenUsed/>
    <w:rsid w:val="004F64B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40643">
      <w:bodyDiv w:val="1"/>
      <w:marLeft w:val="0"/>
      <w:marRight w:val="0"/>
      <w:marTop w:val="0"/>
      <w:marBottom w:val="0"/>
      <w:divBdr>
        <w:top w:val="none" w:sz="0" w:space="0" w:color="auto"/>
        <w:left w:val="none" w:sz="0" w:space="0" w:color="auto"/>
        <w:bottom w:val="none" w:sz="0" w:space="0" w:color="auto"/>
        <w:right w:val="none" w:sz="0" w:space="0" w:color="auto"/>
      </w:divBdr>
    </w:div>
    <w:div w:id="1048645415">
      <w:bodyDiv w:val="1"/>
      <w:marLeft w:val="0"/>
      <w:marRight w:val="0"/>
      <w:marTop w:val="0"/>
      <w:marBottom w:val="0"/>
      <w:divBdr>
        <w:top w:val="none" w:sz="0" w:space="0" w:color="auto"/>
        <w:left w:val="none" w:sz="0" w:space="0" w:color="auto"/>
        <w:bottom w:val="none" w:sz="0" w:space="0" w:color="auto"/>
        <w:right w:val="none" w:sz="0" w:space="0" w:color="auto"/>
      </w:divBdr>
    </w:div>
    <w:div w:id="105986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hobogenzo.e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hobogenzo.e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300</Words>
  <Characters>1655</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tiane</dc:creator>
  <cp:lastModifiedBy>tiane</cp:lastModifiedBy>
  <cp:revision>6</cp:revision>
  <cp:lastPrinted>2015-10-07T13:11:00Z</cp:lastPrinted>
  <dcterms:created xsi:type="dcterms:W3CDTF">2012-12-09T20:54:00Z</dcterms:created>
  <dcterms:modified xsi:type="dcterms:W3CDTF">2015-10-07T13:11:00Z</dcterms:modified>
</cp:coreProperties>
</file>