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E" w:rsidRDefault="009A556E" w:rsidP="009A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541B">
        <w:rPr>
          <w:rFonts w:ascii="Arial" w:hAnsi="Arial" w:cs="Arial"/>
          <w:b/>
          <w:sz w:val="32"/>
          <w:szCs w:val="32"/>
        </w:rPr>
        <w:t xml:space="preserve">ANALYSE FINANCIERE DE L’ACHAT/REVENTE DU </w:t>
      </w:r>
    </w:p>
    <w:p w:rsidR="009A556E" w:rsidRDefault="009A556E" w:rsidP="009A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541B">
        <w:rPr>
          <w:rFonts w:ascii="Arial" w:hAnsi="Arial" w:cs="Arial"/>
          <w:b/>
          <w:sz w:val="32"/>
          <w:szCs w:val="32"/>
        </w:rPr>
        <w:t>CENTRE WAGRAM</w:t>
      </w:r>
    </w:p>
    <w:p w:rsidR="00D02ACC" w:rsidRDefault="00D02ACC" w:rsidP="009A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2ACC" w:rsidRPr="0051541B" w:rsidRDefault="00D02ACC" w:rsidP="009A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A556E" w:rsidRPr="0051541B" w:rsidRDefault="009A556E" w:rsidP="009A5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La présentation comptable de l’achat et de la revente de l’appartement sis avenue de Wagram (dit « Centre Wagram ») acquis le 22 septembre 2008 et cédé le 24 novembre 2011 laisse apparaître une </w:t>
      </w:r>
      <w:r w:rsidRPr="0051541B">
        <w:rPr>
          <w:rFonts w:ascii="Arial" w:hAnsi="Arial" w:cs="Arial"/>
          <w:sz w:val="28"/>
          <w:szCs w:val="28"/>
          <w:u w:val="single"/>
        </w:rPr>
        <w:t>plus-value brute comptable</w:t>
      </w:r>
      <w:r w:rsidRPr="0051541B">
        <w:rPr>
          <w:rFonts w:ascii="Arial" w:hAnsi="Arial" w:cs="Arial"/>
          <w:sz w:val="28"/>
          <w:szCs w:val="28"/>
        </w:rPr>
        <w:t xml:space="preserve"> (différence entre le capital du prêt immobilier restant dû au jour de la cession et le prix de revente) de </w:t>
      </w:r>
      <w:r w:rsidRPr="0051541B">
        <w:rPr>
          <w:rFonts w:ascii="Arial" w:hAnsi="Arial" w:cs="Arial"/>
          <w:b/>
          <w:sz w:val="28"/>
          <w:szCs w:val="28"/>
        </w:rPr>
        <w:t>953.172,37 €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Toutefois, il convient de prendre en compte les frais, charges, coût du crédit, aménagements réalisés, honoraires divers</w:t>
      </w:r>
      <w:r>
        <w:rPr>
          <w:rFonts w:ascii="Arial" w:hAnsi="Arial" w:cs="Arial"/>
          <w:sz w:val="28"/>
          <w:szCs w:val="28"/>
        </w:rPr>
        <w:t>,</w:t>
      </w:r>
      <w:r w:rsidRPr="0051541B">
        <w:rPr>
          <w:rFonts w:ascii="Arial" w:hAnsi="Arial" w:cs="Arial"/>
          <w:sz w:val="28"/>
          <w:szCs w:val="28"/>
        </w:rPr>
        <w:t xml:space="preserve"> afin de donner une image fidèle et transparente de cette opération.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Retraité de ces différents éléments, le résultat économique de cette opération ressort en </w:t>
      </w:r>
      <w:r w:rsidRPr="0051541B">
        <w:rPr>
          <w:rFonts w:ascii="Arial" w:hAnsi="Arial" w:cs="Arial"/>
          <w:sz w:val="28"/>
          <w:szCs w:val="28"/>
          <w:u w:val="single"/>
        </w:rPr>
        <w:t>moins-value</w:t>
      </w:r>
      <w:r w:rsidRPr="0051541B">
        <w:rPr>
          <w:rFonts w:ascii="Arial" w:hAnsi="Arial" w:cs="Arial"/>
          <w:b/>
          <w:sz w:val="28"/>
          <w:szCs w:val="28"/>
        </w:rPr>
        <w:t xml:space="preserve"> </w:t>
      </w:r>
      <w:r w:rsidRPr="0051541B">
        <w:rPr>
          <w:rFonts w:ascii="Arial" w:hAnsi="Arial" w:cs="Arial"/>
          <w:sz w:val="28"/>
          <w:szCs w:val="28"/>
        </w:rPr>
        <w:t>de</w:t>
      </w:r>
      <w:r w:rsidRPr="0051541B">
        <w:rPr>
          <w:rFonts w:ascii="Arial" w:hAnsi="Arial" w:cs="Arial"/>
          <w:b/>
          <w:sz w:val="28"/>
          <w:szCs w:val="28"/>
        </w:rPr>
        <w:t xml:space="preserve"> 500.072,89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1541B">
        <w:rPr>
          <w:rFonts w:ascii="Arial" w:hAnsi="Arial" w:cs="Arial"/>
          <w:b/>
          <w:sz w:val="32"/>
          <w:szCs w:val="32"/>
          <w:u w:val="single"/>
        </w:rPr>
        <w:t>1/ Rappel historique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L’appartement situé 72 avenue de Wagram a été acquis le lundi 22 septembre 2008 pour un montant brut de </w:t>
      </w:r>
      <w:r w:rsidRPr="0051541B">
        <w:rPr>
          <w:rFonts w:ascii="Arial" w:hAnsi="Arial" w:cs="Arial"/>
          <w:b/>
          <w:sz w:val="28"/>
          <w:szCs w:val="28"/>
        </w:rPr>
        <w:t xml:space="preserve">1.950.000 €, </w:t>
      </w:r>
      <w:r w:rsidRPr="0051541B"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>rs frais d’acquisition (ou débours</w:t>
      </w:r>
      <w:r w:rsidRPr="005154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l’office notarial, l’Officier ministériel n’ayant pas facturé d’honoraires</w:t>
      </w:r>
      <w:r w:rsidRPr="0051541B">
        <w:rPr>
          <w:rFonts w:ascii="Arial" w:hAnsi="Arial" w:cs="Arial"/>
          <w:sz w:val="28"/>
          <w:szCs w:val="28"/>
        </w:rPr>
        <w:t>).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Il a été revendu le jeudi 24 novembre 2011 pour un montant brut de </w:t>
      </w:r>
      <w:r w:rsidRPr="0051541B">
        <w:rPr>
          <w:rFonts w:ascii="Arial" w:hAnsi="Arial" w:cs="Arial"/>
          <w:b/>
          <w:sz w:val="28"/>
          <w:szCs w:val="28"/>
        </w:rPr>
        <w:t>2.815.317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L’acquisition a été intégralement financée par un prêt immobilier de </w:t>
      </w:r>
      <w:r w:rsidRPr="0051541B">
        <w:rPr>
          <w:rFonts w:ascii="Arial" w:hAnsi="Arial" w:cs="Arial"/>
          <w:b/>
          <w:sz w:val="28"/>
          <w:szCs w:val="28"/>
        </w:rPr>
        <w:t>2.000.000 €</w:t>
      </w:r>
      <w:r w:rsidRPr="0051541B">
        <w:rPr>
          <w:rFonts w:ascii="Arial" w:hAnsi="Arial" w:cs="Arial"/>
          <w:sz w:val="28"/>
          <w:szCs w:val="28"/>
        </w:rPr>
        <w:t xml:space="preserve"> consenti par la Caisse de Crédit Mutuel de Lyon courant sur une durée de 25 ans (ou 300 mois) avec un taux d’intérêt de 4,90% brut et de 5,011560% assurance incluse. 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Remarquons que le montant du prêt est supérieur au coût du bien, ce qui est dérogatoire aux clauses des conditions suspensives.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La plus-value brute comptable constatée s’élève donc à </w:t>
      </w:r>
      <w:r w:rsidRPr="0051541B">
        <w:rPr>
          <w:rFonts w:ascii="Arial" w:hAnsi="Arial" w:cs="Arial"/>
          <w:b/>
          <w:sz w:val="28"/>
          <w:szCs w:val="28"/>
        </w:rPr>
        <w:t>953.172,37 €</w:t>
      </w:r>
      <w:r w:rsidRPr="0051541B">
        <w:rPr>
          <w:rFonts w:ascii="Arial" w:hAnsi="Arial" w:cs="Arial"/>
          <w:sz w:val="28"/>
          <w:szCs w:val="28"/>
        </w:rPr>
        <w:t>, soit la différence entre le capital du prêt immobilier restant dû au jour de la cession (</w:t>
      </w:r>
      <w:r>
        <w:rPr>
          <w:rFonts w:ascii="Arial" w:hAnsi="Arial" w:cs="Arial"/>
          <w:b/>
          <w:sz w:val="28"/>
          <w:szCs w:val="28"/>
        </w:rPr>
        <w:t>1.864.</w:t>
      </w:r>
      <w:r w:rsidRPr="0051541B">
        <w:rPr>
          <w:rFonts w:ascii="Arial" w:hAnsi="Arial" w:cs="Arial"/>
          <w:b/>
          <w:sz w:val="28"/>
          <w:szCs w:val="28"/>
        </w:rPr>
        <w:t>142,63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) et le prix de revente (</w:t>
      </w:r>
      <w:r>
        <w:rPr>
          <w:rFonts w:ascii="Arial" w:hAnsi="Arial" w:cs="Arial"/>
          <w:b/>
          <w:sz w:val="28"/>
          <w:szCs w:val="28"/>
        </w:rPr>
        <w:t>2.815.</w:t>
      </w:r>
      <w:r w:rsidRPr="0051541B">
        <w:rPr>
          <w:rFonts w:ascii="Arial" w:hAnsi="Arial" w:cs="Arial"/>
          <w:b/>
          <w:sz w:val="28"/>
          <w:szCs w:val="28"/>
        </w:rPr>
        <w:t>317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). Ces chiffres sont conformes avec ceux retenus et comptabilisés par l’administrateur judiciaire.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Observons cependant que la plus-value brute résultant de la différence entre le prix d’acquisition et le prix de revente s’élève à </w:t>
      </w:r>
      <w:r w:rsidRPr="0051541B">
        <w:rPr>
          <w:rFonts w:ascii="Arial" w:hAnsi="Arial" w:cs="Arial"/>
          <w:b/>
          <w:sz w:val="28"/>
          <w:szCs w:val="28"/>
        </w:rPr>
        <w:t>867.315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1541B">
        <w:rPr>
          <w:rFonts w:ascii="Arial" w:hAnsi="Arial" w:cs="Arial"/>
          <w:b/>
          <w:sz w:val="32"/>
          <w:szCs w:val="32"/>
          <w:u w:val="single"/>
        </w:rPr>
        <w:t>2/ Sur les retraitements comptables qu’il convient d’opérer</w:t>
      </w:r>
    </w:p>
    <w:p w:rsidR="009A556E" w:rsidRPr="0051541B" w:rsidRDefault="009A556E" w:rsidP="009A556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Comme expliqué ci-dessus, il convient tout d’abord de réintégrer le montant du remboursement du prêt effectué depuis l’acquisition du bien :</w:t>
      </w:r>
    </w:p>
    <w:p w:rsidR="009A556E" w:rsidRPr="0051541B" w:rsidRDefault="009A556E" w:rsidP="009A556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lastRenderedPageBreak/>
        <w:t xml:space="preserve">Sur une base de </w:t>
      </w:r>
      <w:r w:rsidRPr="0051541B">
        <w:rPr>
          <w:rFonts w:ascii="Arial" w:hAnsi="Arial" w:cs="Arial"/>
          <w:b/>
          <w:sz w:val="28"/>
          <w:szCs w:val="28"/>
        </w:rPr>
        <w:t>37 mois</w:t>
      </w:r>
      <w:r w:rsidRPr="0051541B">
        <w:rPr>
          <w:rFonts w:ascii="Arial" w:hAnsi="Arial" w:cs="Arial"/>
          <w:sz w:val="28"/>
          <w:szCs w:val="28"/>
        </w:rPr>
        <w:t xml:space="preserve">, le montant se chiffre à </w:t>
      </w:r>
      <w:r w:rsidRPr="0051541B">
        <w:rPr>
          <w:rFonts w:ascii="Arial" w:hAnsi="Arial" w:cs="Arial"/>
          <w:b/>
          <w:sz w:val="28"/>
          <w:szCs w:val="28"/>
        </w:rPr>
        <w:t>428.296,27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Les autres frais bancaires liés au remboursement anticipé du prêt et aux intérêts courus et main levée se montent à </w:t>
      </w:r>
      <w:r w:rsidRPr="0051541B">
        <w:rPr>
          <w:rFonts w:ascii="Arial" w:hAnsi="Arial" w:cs="Arial"/>
          <w:b/>
          <w:sz w:val="28"/>
          <w:szCs w:val="28"/>
        </w:rPr>
        <w:t>57.377,60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Des frais de notaires pour </w:t>
      </w:r>
      <w:r w:rsidRPr="0051541B">
        <w:rPr>
          <w:rFonts w:ascii="Arial" w:hAnsi="Arial" w:cs="Arial"/>
          <w:b/>
          <w:sz w:val="28"/>
          <w:szCs w:val="28"/>
        </w:rPr>
        <w:t>114.612,11€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Des frais de négociation par le cabinet IEGI pour </w:t>
      </w:r>
      <w:r w:rsidRPr="0051541B">
        <w:rPr>
          <w:rFonts w:ascii="Arial" w:hAnsi="Arial" w:cs="Arial"/>
          <w:b/>
          <w:sz w:val="28"/>
          <w:szCs w:val="28"/>
        </w:rPr>
        <w:t>90.000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sz w:val="16"/>
          <w:szCs w:val="16"/>
        </w:rPr>
      </w:pPr>
    </w:p>
    <w:p w:rsidR="009A556E" w:rsidRPr="0051541B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r w:rsidRPr="0051541B">
        <w:rPr>
          <w:rFonts w:ascii="Arial" w:hAnsi="Arial" w:cs="Arial"/>
          <w:color w:val="FF0000"/>
          <w:sz w:val="28"/>
          <w:szCs w:val="28"/>
        </w:rPr>
        <w:t xml:space="preserve">Soit un montant de coût bancaire et frais divers de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690.285,98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</w:t>
      </w:r>
      <w:r>
        <w:rPr>
          <w:rFonts w:ascii="Arial" w:hAnsi="Arial" w:cs="Arial"/>
          <w:b/>
          <w:color w:val="FF0000"/>
          <w:sz w:val="28"/>
          <w:szCs w:val="28"/>
        </w:rPr>
        <w:t>, passés en charges de fonctionnement général (…)</w:t>
      </w:r>
    </w:p>
    <w:p w:rsidR="009A556E" w:rsidRPr="00570B7F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sz w:val="16"/>
          <w:szCs w:val="16"/>
        </w:rPr>
      </w:pPr>
    </w:p>
    <w:p w:rsidR="009A556E" w:rsidRPr="0051541B" w:rsidRDefault="009A556E" w:rsidP="009A556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D’importants travaux d’aménagement ont été effectués, se décomposant en :</w:t>
      </w:r>
    </w:p>
    <w:p w:rsidR="009A556E" w:rsidRPr="0051541B" w:rsidRDefault="009A556E" w:rsidP="009A556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Travaux d’aménagement pour </w:t>
      </w:r>
      <w:r w:rsidRPr="0051541B">
        <w:rPr>
          <w:rFonts w:ascii="Arial" w:hAnsi="Arial" w:cs="Arial"/>
          <w:b/>
          <w:sz w:val="28"/>
          <w:szCs w:val="28"/>
        </w:rPr>
        <w:t>596.490,75 €</w:t>
      </w:r>
      <w:r w:rsidRPr="0051541B">
        <w:rPr>
          <w:rFonts w:ascii="Arial" w:hAnsi="Arial" w:cs="Arial"/>
          <w:sz w:val="28"/>
          <w:szCs w:val="28"/>
        </w:rPr>
        <w:t xml:space="preserve">. </w:t>
      </w:r>
    </w:p>
    <w:p w:rsidR="009A556E" w:rsidRPr="0051541B" w:rsidRDefault="009A556E" w:rsidP="009A556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Equipements et mobiliers pour </w:t>
      </w:r>
      <w:r w:rsidRPr="0051541B">
        <w:rPr>
          <w:rFonts w:ascii="Arial" w:hAnsi="Arial" w:cs="Arial"/>
          <w:b/>
          <w:sz w:val="28"/>
          <w:szCs w:val="28"/>
        </w:rPr>
        <w:t>57.315,28 €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1541B" w:rsidRDefault="009A556E" w:rsidP="009A556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Honoraires d’architecte/décorateur pour </w:t>
      </w:r>
      <w:r w:rsidRPr="0051541B">
        <w:rPr>
          <w:rFonts w:ascii="Arial" w:hAnsi="Arial" w:cs="Arial"/>
          <w:b/>
          <w:sz w:val="28"/>
          <w:szCs w:val="28"/>
        </w:rPr>
        <w:t>51.746,25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sz w:val="28"/>
          <w:szCs w:val="28"/>
        </w:rPr>
        <w:t>€</w:t>
      </w:r>
      <w:r w:rsidRPr="0051541B">
        <w:rPr>
          <w:rFonts w:ascii="Arial" w:hAnsi="Arial" w:cs="Arial"/>
          <w:sz w:val="28"/>
          <w:szCs w:val="28"/>
        </w:rPr>
        <w:t>.</w:t>
      </w:r>
    </w:p>
    <w:p w:rsidR="009A556E" w:rsidRPr="00570B7F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sz w:val="16"/>
          <w:szCs w:val="16"/>
        </w:rPr>
      </w:pPr>
    </w:p>
    <w:p w:rsidR="009A556E" w:rsidRPr="0051541B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1541B">
        <w:rPr>
          <w:rFonts w:ascii="Arial" w:hAnsi="Arial" w:cs="Arial"/>
          <w:color w:val="FF0000"/>
          <w:sz w:val="28"/>
          <w:szCs w:val="28"/>
        </w:rPr>
        <w:t xml:space="preserve">Soit un montant d’aménagements et équipements de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705.552,28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</w:t>
      </w:r>
      <w:r>
        <w:rPr>
          <w:rFonts w:ascii="Arial" w:hAnsi="Arial" w:cs="Arial"/>
          <w:b/>
          <w:color w:val="FF0000"/>
          <w:sz w:val="28"/>
          <w:szCs w:val="28"/>
        </w:rPr>
        <w:t>,</w:t>
      </w:r>
      <w:r w:rsidRPr="005E010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passés eux-aussi en charges de fonctionnement général, et amortis sur l’année de réalisation (…)</w:t>
      </w:r>
    </w:p>
    <w:p w:rsidR="009A556E" w:rsidRPr="00570B7F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9A556E" w:rsidRPr="0051541B" w:rsidRDefault="009A556E" w:rsidP="009A556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Enfin, il convient de rajouter les frais annexes (copropriété, impôts et taxes, gaz/électricité, maintenance, expertises, diagnostics, …). En l’absence de justificatifs de la GLNF (délais trop court pour moi), j’ai donc procédé à une estimation détaillée, prudente et réaliste (cf. détails du tableau ci-joint).</w:t>
      </w:r>
    </w:p>
    <w:p w:rsidR="009A556E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1541B">
        <w:rPr>
          <w:rFonts w:ascii="Arial" w:hAnsi="Arial" w:cs="Arial"/>
          <w:color w:val="FF0000"/>
          <w:sz w:val="28"/>
          <w:szCs w:val="28"/>
        </w:rPr>
        <w:t xml:space="preserve">Nous arrivons à </w:t>
      </w:r>
      <w:r>
        <w:rPr>
          <w:rFonts w:ascii="Arial" w:hAnsi="Arial" w:cs="Arial"/>
          <w:color w:val="FF0000"/>
          <w:sz w:val="28"/>
          <w:szCs w:val="28"/>
        </w:rPr>
        <w:t>une raisonnable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estimation de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57.407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</w:t>
      </w:r>
    </w:p>
    <w:p w:rsidR="009A556E" w:rsidRPr="0051541B" w:rsidRDefault="009A556E" w:rsidP="009A556E">
      <w:pPr>
        <w:pStyle w:val="Paragraphedeliste"/>
        <w:spacing w:after="0"/>
        <w:ind w:left="1080"/>
        <w:jc w:val="both"/>
        <w:rPr>
          <w:rFonts w:ascii="Arial" w:hAnsi="Arial" w:cs="Arial"/>
          <w:color w:val="FF0000"/>
          <w:sz w:val="28"/>
          <w:szCs w:val="28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010A">
        <w:rPr>
          <w:rFonts w:ascii="Arial" w:hAnsi="Arial" w:cs="Arial"/>
          <w:b/>
          <w:sz w:val="28"/>
          <w:szCs w:val="28"/>
        </w:rPr>
        <w:t>Il est donc nécessaire de prendre en compte ces coûts, charges et dépenses liés</w:t>
      </w:r>
      <w:r w:rsidRPr="0051541B">
        <w:rPr>
          <w:rFonts w:ascii="Arial" w:hAnsi="Arial" w:cs="Arial"/>
          <w:sz w:val="28"/>
          <w:szCs w:val="28"/>
        </w:rPr>
        <w:t xml:space="preserve">, 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pour un montant de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1.453.245,26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</w:t>
      </w:r>
      <w:r w:rsidRPr="0051541B">
        <w:rPr>
          <w:rFonts w:ascii="Arial" w:hAnsi="Arial" w:cs="Arial"/>
          <w:b/>
          <w:sz w:val="28"/>
          <w:szCs w:val="28"/>
        </w:rPr>
        <w:t xml:space="preserve"> </w:t>
      </w:r>
      <w:r w:rsidRPr="0051541B">
        <w:rPr>
          <w:rFonts w:ascii="Arial" w:hAnsi="Arial" w:cs="Arial"/>
          <w:sz w:val="28"/>
          <w:szCs w:val="28"/>
        </w:rPr>
        <w:t>(ligne G du tableau ci-joint).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 </w:t>
      </w: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1541B">
        <w:rPr>
          <w:rFonts w:ascii="Arial" w:hAnsi="Arial" w:cs="Arial"/>
          <w:b/>
          <w:sz w:val="32"/>
          <w:szCs w:val="32"/>
        </w:rPr>
        <w:t>CONCLUSION </w:t>
      </w:r>
      <w:r w:rsidRPr="0051541B">
        <w:rPr>
          <w:rFonts w:ascii="Arial" w:hAnsi="Arial" w:cs="Arial"/>
          <w:sz w:val="28"/>
          <w:szCs w:val="28"/>
        </w:rPr>
        <w:t xml:space="preserve">: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une opération négative de 500.072,89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</w:t>
      </w:r>
      <w:r w:rsidRPr="0051541B">
        <w:rPr>
          <w:rFonts w:ascii="Arial" w:hAnsi="Arial" w:cs="Arial"/>
          <w:b/>
          <w:sz w:val="28"/>
          <w:szCs w:val="28"/>
        </w:rPr>
        <w:t> !</w:t>
      </w:r>
    </w:p>
    <w:p w:rsidR="009A556E" w:rsidRPr="000F07C7" w:rsidRDefault="009A556E" w:rsidP="009A556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A556E" w:rsidRPr="0051541B" w:rsidRDefault="009A556E" w:rsidP="009A556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La présentation des comptes de la GLNF n’est ni « fidèle » ni « transparente » au sens des cabinets d’audit, puisqu’elle fait apparaître une plus-value fictive alors que le résultat économique est particulièrement éloigné de celui ressortant de la présentation comptable (</w:t>
      </w:r>
      <w:r w:rsidRPr="0051541B">
        <w:rPr>
          <w:rFonts w:ascii="Arial" w:hAnsi="Arial" w:cs="Arial"/>
          <w:color w:val="FF0000"/>
          <w:sz w:val="28"/>
          <w:szCs w:val="28"/>
        </w:rPr>
        <w:t>d</w:t>
      </w:r>
      <w:r>
        <w:rPr>
          <w:rFonts w:ascii="Arial" w:hAnsi="Arial" w:cs="Arial"/>
          <w:color w:val="FF0000"/>
          <w:sz w:val="28"/>
          <w:szCs w:val="28"/>
        </w:rPr>
        <w:t>ifférence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de</w:t>
      </w:r>
      <w:r w:rsidRPr="0051541B">
        <w:rPr>
          <w:rFonts w:ascii="Arial" w:hAnsi="Arial" w:cs="Arial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1.453.245,26</w:t>
      </w:r>
      <w:r w:rsidRPr="0051541B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541B">
        <w:rPr>
          <w:rFonts w:ascii="Arial" w:hAnsi="Arial" w:cs="Arial"/>
          <w:b/>
          <w:color w:val="FF0000"/>
          <w:sz w:val="28"/>
          <w:szCs w:val="28"/>
        </w:rPr>
        <w:t>€)</w:t>
      </w:r>
      <w:r w:rsidRPr="0051541B">
        <w:rPr>
          <w:rFonts w:ascii="Arial" w:hAnsi="Arial" w:cs="Arial"/>
          <w:sz w:val="28"/>
          <w:szCs w:val="28"/>
        </w:rPr>
        <w:t xml:space="preserve">. </w:t>
      </w:r>
    </w:p>
    <w:p w:rsidR="009A556E" w:rsidRPr="0051541B" w:rsidRDefault="009A556E" w:rsidP="009A556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>Des questions subsistent : avons-nous une ventilation comptable exhaustive du coût des travaux et aménagements du Centre Wagram ? D’autres coûts n’ont-ils pas été passés en charge dans d’autres comptes de la GLNF, notamment ceux du siège de Pisan ?</w:t>
      </w:r>
    </w:p>
    <w:p w:rsidR="009A556E" w:rsidRPr="000F07C7" w:rsidRDefault="009A556E" w:rsidP="009A55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Dans ces conditions, </w:t>
      </w:r>
      <w:r w:rsidRPr="005E010A">
        <w:rPr>
          <w:rFonts w:ascii="Arial" w:hAnsi="Arial" w:cs="Arial"/>
          <w:b/>
          <w:color w:val="FF0000"/>
          <w:sz w:val="28"/>
          <w:szCs w:val="28"/>
        </w:rPr>
        <w:t>pouvons-nous approuver les comptes de la GLNF tels qu’ils nous sont présentés ?</w:t>
      </w:r>
      <w:r w:rsidRPr="0051541B">
        <w:rPr>
          <w:rFonts w:ascii="Arial" w:hAnsi="Arial" w:cs="Arial"/>
          <w:sz w:val="28"/>
          <w:szCs w:val="28"/>
        </w:rPr>
        <w:t xml:space="preserve"> D’autant que d’autres questions légitimes se posent comme </w:t>
      </w:r>
      <w:r w:rsidRPr="00653C52">
        <w:rPr>
          <w:rFonts w:ascii="Arial" w:hAnsi="Arial" w:cs="Arial"/>
          <w:sz w:val="28"/>
          <w:szCs w:val="28"/>
          <w:u w:val="single"/>
        </w:rPr>
        <w:t>les constitutions, mouvements et reprises de provisions qui amènent les auditeurs à exprimer des réserves sur la qualité des comptes présentés</w:t>
      </w:r>
      <w:r w:rsidRPr="0051541B">
        <w:rPr>
          <w:rFonts w:ascii="Arial" w:hAnsi="Arial" w:cs="Arial"/>
          <w:sz w:val="28"/>
          <w:szCs w:val="28"/>
        </w:rPr>
        <w:t> !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541B">
        <w:rPr>
          <w:rFonts w:ascii="Arial" w:hAnsi="Arial" w:cs="Arial"/>
          <w:sz w:val="28"/>
          <w:szCs w:val="28"/>
        </w:rPr>
        <w:t xml:space="preserve">Personnellement, je voterais </w:t>
      </w:r>
      <w:r w:rsidRPr="005E010A">
        <w:rPr>
          <w:rFonts w:ascii="Arial" w:hAnsi="Arial" w:cs="Arial"/>
          <w:b/>
          <w:color w:val="FF0000"/>
          <w:sz w:val="28"/>
          <w:szCs w:val="28"/>
        </w:rPr>
        <w:t>NON</w:t>
      </w:r>
      <w:r w:rsidRPr="0051541B">
        <w:rPr>
          <w:rFonts w:ascii="Arial" w:hAnsi="Arial" w:cs="Arial"/>
          <w:sz w:val="28"/>
          <w:szCs w:val="28"/>
        </w:rPr>
        <w:t xml:space="preserve"> aux différents rapports financiers et j’invite les Frères à prendre leurs responsabilités.</w:t>
      </w:r>
    </w:p>
    <w:p w:rsidR="009A556E" w:rsidRPr="00653C52" w:rsidRDefault="009A556E" w:rsidP="009A55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56E" w:rsidRPr="005E010A" w:rsidRDefault="009A556E" w:rsidP="009A55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5E010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Il apparait nécessaire que les membres de l’association soient bien conscients que la décision hâtive de revente par l’Administratrice leur a coûté 500.073 €. </w:t>
      </w:r>
    </w:p>
    <w:p w:rsidR="009A556E" w:rsidRPr="005E010A" w:rsidRDefault="009A556E" w:rsidP="009A55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5E010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Attendre aurait sans doute été plus judicieux sur le plan économique et financier. </w:t>
      </w:r>
    </w:p>
    <w:p w:rsidR="009A556E" w:rsidRPr="005E010A" w:rsidRDefault="009A556E" w:rsidP="009A556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E010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Ne pas acheter aurait été, peut être mieux, mais c’est une autre histoire, que notre Président actuel, alors Secrétaire du Conseil d’Administration, pourra nous expliquer un jour… peut être ?</w:t>
      </w:r>
    </w:p>
    <w:p w:rsidR="009A556E" w:rsidRPr="00653C52" w:rsidRDefault="009A556E" w:rsidP="009A556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opération n’est pas de la responsabilité du Président JPS mais de celle de tout le CA ayant accepté à l’unanimité cet achat et ces dépenses déraisonnables.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contre la responsabilité du CA actuel et de son Président est engagée dans la présentation des comptes</w:t>
      </w:r>
      <w:r>
        <w:rPr>
          <w:rFonts w:ascii="Arial" w:hAnsi="Arial" w:cs="Arial"/>
          <w:color w:val="FF0000"/>
          <w:sz w:val="28"/>
          <w:szCs w:val="28"/>
        </w:rPr>
        <w:t>, et leur demande de validation de ces derniers qui rendra tout recours impossible</w:t>
      </w:r>
      <w:r>
        <w:rPr>
          <w:rFonts w:ascii="Arial" w:hAnsi="Arial" w:cs="Arial"/>
          <w:sz w:val="28"/>
          <w:szCs w:val="28"/>
        </w:rPr>
        <w:t>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seule et véritable transparence eût été une mise à plat simple, claire de la totalité des comptes, et non pas de tableaux de synthèses cotonneux, cela n’aurait pas oblitéré lourdement les frais de fonctionnement et de papier ! </w:t>
      </w:r>
    </w:p>
    <w:p w:rsidR="009A556E" w:rsidRPr="003F3ED3" w:rsidRDefault="009A556E" w:rsidP="009A55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je précise, je ne donnerai aucun élément chiffré autre que ceux de l’exercice 2011/2012, relevant d’un accès libre et obligatoire pour tous les membres de l’association.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chiffres relevant des exercices antérieurs avec : les anomalies, erreurs, excès ou abus, etc. feront l’objet d’un rapport que je communiquerai, en son temps, au Président de l’association GLNF. </w:t>
      </w: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Chacun dans le respect de ses engagements !</w:t>
      </w:r>
    </w:p>
    <w:p w:rsidR="009A556E" w:rsidRPr="000F07C7" w:rsidRDefault="009A556E" w:rsidP="009A55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répondre à un nombre infime de commentateurs anonymes : je n’ai ni les moyens, ni l’envie d’ester en Justice contre ceux ou celui, que j’appelais, hier encore, ’’Mon Frère’’, cela relève de la responsabilité du Président. </w:t>
      </w:r>
    </w:p>
    <w:p w:rsidR="009A556E" w:rsidRPr="000F07C7" w:rsidRDefault="009A556E" w:rsidP="009A556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556E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sais décrypter, faire parler un bilan, enfin comme affirmé courageusement par certains « pseudos », je n’ai pas participé à 19 séances de travail. Seulement à 8,5 : le</w:t>
      </w:r>
      <w:r w:rsidR="00D02AC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7, 14, 28 mars, le</w:t>
      </w:r>
      <w:r w:rsidR="00D02AC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11, 18, 25 avril, le</w:t>
      </w:r>
      <w:r w:rsidR="00D02AC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16, 23 et le 30 mai -</w:t>
      </w:r>
      <w:r w:rsidR="00D02ACC">
        <w:rPr>
          <w:rFonts w:ascii="Arial" w:hAnsi="Arial" w:cs="Arial"/>
          <w:sz w:val="28"/>
          <w:szCs w:val="28"/>
        </w:rPr>
        <w:t xml:space="preserve"> une demi-journée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02ACC" w:rsidRDefault="00D02ACC" w:rsidP="009A556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A556E" w:rsidRPr="0051541B" w:rsidRDefault="009A556E" w:rsidP="009A556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tous les membres de l’association, Merci, en saluant votre patience.</w:t>
      </w:r>
    </w:p>
    <w:sectPr w:rsidR="009A556E" w:rsidRPr="0051541B" w:rsidSect="000F07C7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216"/>
    <w:multiLevelType w:val="hybridMultilevel"/>
    <w:tmpl w:val="F7F4F5F0"/>
    <w:lvl w:ilvl="0" w:tplc="BBF660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3F4"/>
    <w:multiLevelType w:val="hybridMultilevel"/>
    <w:tmpl w:val="712896D0"/>
    <w:lvl w:ilvl="0" w:tplc="215A0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39"/>
    <w:multiLevelType w:val="hybridMultilevel"/>
    <w:tmpl w:val="85F6C492"/>
    <w:lvl w:ilvl="0" w:tplc="6792C9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A0882"/>
    <w:multiLevelType w:val="hybridMultilevel"/>
    <w:tmpl w:val="C212C328"/>
    <w:lvl w:ilvl="0" w:tplc="E20ED6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6E"/>
    <w:rsid w:val="0014717D"/>
    <w:rsid w:val="009A556E"/>
    <w:rsid w:val="00D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Isilon Systems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eveetjp</dc:creator>
  <cp:lastModifiedBy>eveetjp</cp:lastModifiedBy>
  <cp:revision>2</cp:revision>
  <dcterms:created xsi:type="dcterms:W3CDTF">2013-06-11T23:01:00Z</dcterms:created>
  <dcterms:modified xsi:type="dcterms:W3CDTF">2013-06-11T23:01:00Z</dcterms:modified>
</cp:coreProperties>
</file>