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04" w:rsidRPr="00E55342" w:rsidRDefault="00A43704" w:rsidP="00A43704">
      <w:pPr>
        <w:spacing w:after="60"/>
        <w:ind w:left="851" w:right="426" w:firstLine="142"/>
        <w:jc w:val="both"/>
        <w:rPr>
          <w:rStyle w:val="lev"/>
          <w:rFonts w:eastAsia="MS Mincho"/>
          <w:b w:val="0"/>
        </w:rPr>
      </w:pPr>
      <w:r w:rsidRPr="00E55342">
        <w:rPr>
          <w:rStyle w:val="lev"/>
          <w:rFonts w:eastAsia="MS Mincho"/>
        </w:rPr>
        <w:t>Voici</w:t>
      </w:r>
      <w:r>
        <w:rPr>
          <w:rStyle w:val="lev"/>
          <w:rFonts w:eastAsia="MS Mincho"/>
        </w:rPr>
        <w:t xml:space="preserve">, publié sur </w:t>
      </w:r>
      <w:hyperlink r:id="rId7" w:history="1">
        <w:r w:rsidRPr="00B9669E">
          <w:rPr>
            <w:rStyle w:val="Lienhypertexte"/>
            <w:rFonts w:eastAsia="MS Mincho"/>
          </w:rPr>
          <w:t>www.shobogenzo.eu</w:t>
        </w:r>
      </w:hyperlink>
      <w:r>
        <w:rPr>
          <w:rStyle w:val="lev"/>
          <w:rFonts w:eastAsia="MS Mincho"/>
        </w:rPr>
        <w:t xml:space="preserve"> </w:t>
      </w:r>
      <w:r w:rsidRPr="00E55342">
        <w:rPr>
          <w:rStyle w:val="lev"/>
          <w:rFonts w:eastAsia="MS Mincho"/>
        </w:rPr>
        <w:t xml:space="preserve">le texte de </w:t>
      </w:r>
      <w:proofErr w:type="spellStart"/>
      <w:r>
        <w:rPr>
          <w:rStyle w:val="lev"/>
          <w:i/>
        </w:rPr>
        <w:t>Tsu</w:t>
      </w:r>
      <w:r w:rsidRPr="00E55342">
        <w:rPr>
          <w:rStyle w:val="lev"/>
          <w:i/>
        </w:rPr>
        <w:t>ki</w:t>
      </w:r>
      <w:proofErr w:type="spellEnd"/>
      <w:r w:rsidRPr="00E55342">
        <w:rPr>
          <w:b/>
        </w:rPr>
        <w:t xml:space="preserve">, </w:t>
      </w:r>
      <w:r w:rsidRPr="00E55342">
        <w:rPr>
          <w:rStyle w:val="lev"/>
          <w:rFonts w:eastAsia="MS Mincho"/>
        </w:rPr>
        <w:t xml:space="preserve">étudié avec Yoko </w:t>
      </w:r>
      <w:proofErr w:type="spellStart"/>
      <w:r w:rsidRPr="00E55342">
        <w:rPr>
          <w:rStyle w:val="lev"/>
          <w:rFonts w:eastAsia="MS Mincho"/>
        </w:rPr>
        <w:t>Orimo</w:t>
      </w:r>
      <w:proofErr w:type="spellEnd"/>
      <w:r w:rsidRPr="00E55342">
        <w:rPr>
          <w:rStyle w:val="lev"/>
          <w:rFonts w:eastAsia="MS Mincho"/>
        </w:rPr>
        <w:t xml:space="preserve"> dans l'atelier à l'Institut d'</w:t>
      </w:r>
      <w:proofErr w:type="spellStart"/>
      <w:r w:rsidRPr="00E55342">
        <w:rPr>
          <w:rStyle w:val="lev"/>
          <w:rFonts w:eastAsia="MS Mincho"/>
        </w:rPr>
        <w:t>Etudes</w:t>
      </w:r>
      <w:proofErr w:type="spellEnd"/>
      <w:r w:rsidRPr="00E55342">
        <w:rPr>
          <w:rStyle w:val="lev"/>
          <w:rFonts w:eastAsia="MS Mincho"/>
        </w:rPr>
        <w:t xml:space="preserve"> Bouddhiques</w:t>
      </w:r>
      <w:r w:rsidR="002869C9">
        <w:rPr>
          <w:rStyle w:val="lev"/>
          <w:rFonts w:eastAsia="MS Mincho"/>
        </w:rPr>
        <w:t>,</w:t>
      </w:r>
      <w:r w:rsidRPr="00E55342">
        <w:rPr>
          <w:rStyle w:val="lev"/>
          <w:rFonts w:eastAsia="MS Mincho"/>
        </w:rPr>
        <w:t xml:space="preserve"> </w:t>
      </w:r>
      <w:r w:rsidR="002869C9">
        <w:rPr>
          <w:rStyle w:val="lev"/>
          <w:rFonts w:eastAsia="MS Mincho"/>
        </w:rPr>
        <w:t>l</w:t>
      </w:r>
      <w:r>
        <w:rPr>
          <w:rStyle w:val="lev"/>
          <w:rFonts w:eastAsia="MS Mincho"/>
        </w:rPr>
        <w:t xml:space="preserve">es </w:t>
      </w:r>
      <w:r w:rsidRPr="006906CB">
        <w:rPr>
          <w:rStyle w:val="taille10"/>
          <w:rFonts w:ascii="Times New Roman" w:hAnsi="Times New Roman" w:cs="Times New Roman"/>
          <w:b/>
          <w:bCs/>
          <w:sz w:val="24"/>
          <w:szCs w:val="24"/>
        </w:rPr>
        <w:t>2, 16 et 30 novembre</w:t>
      </w:r>
      <w:r w:rsidRPr="006906CB">
        <w:rPr>
          <w:rFonts w:ascii="Times New Roman" w:hAnsi="Times New Roman" w:cs="Times New Roman"/>
          <w:sz w:val="24"/>
          <w:szCs w:val="24"/>
        </w:rPr>
        <w:t xml:space="preserve"> 2015</w:t>
      </w:r>
      <w:r w:rsidRPr="00E55342">
        <w:rPr>
          <w:rStyle w:val="lev"/>
          <w:rFonts w:eastAsia="MS Mincho"/>
        </w:rPr>
        <w:t xml:space="preserve">. </w:t>
      </w:r>
    </w:p>
    <w:p w:rsidR="00A43704" w:rsidRDefault="00A43704" w:rsidP="00A43704">
      <w:pPr>
        <w:spacing w:after="0"/>
        <w:ind w:left="851" w:right="426" w:firstLine="142"/>
        <w:jc w:val="both"/>
      </w:pPr>
      <w:proofErr w:type="spellStart"/>
      <w:r>
        <w:rPr>
          <w:rFonts w:eastAsia="Times New Roman" w:cs="Times New Roman"/>
          <w:b/>
          <w:bCs/>
          <w:i/>
          <w:iCs/>
          <w:lang w:eastAsia="fr-FR"/>
        </w:rPr>
        <w:t>Tsu</w:t>
      </w:r>
      <w:r w:rsidRPr="00E55342">
        <w:rPr>
          <w:rFonts w:eastAsia="Times New Roman" w:cs="Times New Roman"/>
          <w:b/>
          <w:bCs/>
          <w:i/>
          <w:iCs/>
          <w:lang w:eastAsia="fr-FR"/>
        </w:rPr>
        <w:t>ki</w:t>
      </w:r>
      <w:proofErr w:type="spellEnd"/>
      <w:r w:rsidRPr="00E55342">
        <w:rPr>
          <w:rFonts w:eastAsia="Times New Roman" w:cs="Times New Roman"/>
          <w:b/>
          <w:bCs/>
          <w:i/>
          <w:iCs/>
          <w:lang w:eastAsia="fr-FR"/>
        </w:rPr>
        <w:t xml:space="preserve"> (La </w:t>
      </w:r>
      <w:r>
        <w:rPr>
          <w:rFonts w:eastAsia="Times New Roman" w:cs="Times New Roman"/>
          <w:b/>
          <w:bCs/>
          <w:i/>
          <w:iCs/>
          <w:lang w:eastAsia="fr-FR"/>
        </w:rPr>
        <w:t>lune ou la réflexion</w:t>
      </w:r>
      <w:r w:rsidRPr="00E55342">
        <w:rPr>
          <w:rFonts w:eastAsia="Times New Roman" w:cs="Times New Roman"/>
          <w:b/>
          <w:bCs/>
          <w:i/>
          <w:iCs/>
          <w:lang w:eastAsia="fr-FR"/>
        </w:rPr>
        <w:t>)</w:t>
      </w:r>
      <w:r w:rsidRPr="00E55342">
        <w:rPr>
          <w:rFonts w:eastAsia="Times New Roman" w:cs="Times New Roman"/>
          <w:b/>
          <w:bCs/>
          <w:lang w:eastAsia="fr-FR"/>
        </w:rPr>
        <w:t xml:space="preserve"> </w:t>
      </w:r>
      <w:r w:rsidRPr="00E55342">
        <w:t xml:space="preserve">est traduit en français dans le </w:t>
      </w:r>
      <w:r w:rsidRPr="00E55342">
        <w:rPr>
          <w:rStyle w:val="Accentuation"/>
        </w:rPr>
        <w:t xml:space="preserve">tome 2 </w:t>
      </w:r>
      <w:r w:rsidRPr="00E55342">
        <w:t xml:space="preserve">de la Traduction intégrale du </w:t>
      </w:r>
      <w:proofErr w:type="spellStart"/>
      <w:r w:rsidRPr="00E55342">
        <w:rPr>
          <w:rStyle w:val="Accentuation"/>
        </w:rPr>
        <w:t>Shôbôgenzô</w:t>
      </w:r>
      <w:proofErr w:type="spellEnd"/>
      <w:r w:rsidRPr="00E55342">
        <w:rPr>
          <w:rStyle w:val="Accentuation"/>
        </w:rPr>
        <w:t xml:space="preserve"> (La Vraie Loi, Trésor de l'œil)</w:t>
      </w:r>
      <w:r w:rsidRPr="00E55342">
        <w:t xml:space="preserve"> de Yoko </w:t>
      </w:r>
      <w:proofErr w:type="spellStart"/>
      <w:r w:rsidRPr="00E55342">
        <w:t>Orimo</w:t>
      </w:r>
      <w:proofErr w:type="spellEnd"/>
      <w:r w:rsidRPr="00E55342">
        <w:t xml:space="preserve"> (Ed. Sully). Le texte japonais ci-dessous est </w:t>
      </w:r>
      <w:r w:rsidRPr="00E55342">
        <w:rPr>
          <w:b/>
        </w:rPr>
        <w:t>à peu près</w:t>
      </w:r>
      <w:r w:rsidRPr="00E55342">
        <w:t xml:space="preserve"> présenté en paragraphes comme dans le livre </w:t>
      </w:r>
      <w:proofErr w:type="gramStart"/>
      <w:r w:rsidRPr="00E55342">
        <w:t>de Y</w:t>
      </w:r>
      <w:proofErr w:type="gramEnd"/>
      <w:r w:rsidRPr="00E55342">
        <w:t xml:space="preserve">. </w:t>
      </w:r>
      <w:proofErr w:type="spellStart"/>
      <w:r w:rsidRPr="00E55342">
        <w:t>Orimo</w:t>
      </w:r>
      <w:proofErr w:type="spellEnd"/>
      <w:r w:rsidRPr="00E55342">
        <w:t xml:space="preserve"> pour faciliter la recherche. </w:t>
      </w:r>
      <w:bookmarkStart w:id="0" w:name="_GoBack"/>
      <w:bookmarkEnd w:id="0"/>
    </w:p>
    <w:p w:rsidR="00A43704" w:rsidRPr="00E55342" w:rsidRDefault="00A43704" w:rsidP="00A43704">
      <w:pPr>
        <w:spacing w:after="0"/>
        <w:ind w:left="851" w:right="426" w:firstLine="142"/>
        <w:jc w:val="both"/>
        <w:rPr>
          <w:rStyle w:val="lev"/>
          <w:b w:val="0"/>
          <w:bCs w:val="0"/>
        </w:rPr>
      </w:pPr>
      <w:r>
        <w:t>Ce texte est le n° 2</w:t>
      </w:r>
      <w:r>
        <w:t>3</w:t>
      </w:r>
      <w:r>
        <w:t xml:space="preserve"> de la Nouvelle Édition</w:t>
      </w:r>
      <w:r w:rsidR="008E6B12">
        <w:t xml:space="preserve"> du </w:t>
      </w:r>
      <w:proofErr w:type="spellStart"/>
      <w:r w:rsidR="008E6B12">
        <w:t>Shôbôgenzô</w:t>
      </w:r>
      <w:proofErr w:type="spellEnd"/>
      <w:r>
        <w:t>.</w:t>
      </w:r>
    </w:p>
    <w:p w:rsidR="00A43704" w:rsidRDefault="00A43704" w:rsidP="005D270E">
      <w:pPr>
        <w:pStyle w:val="NormalWeb"/>
        <w:spacing w:before="0" w:beforeAutospacing="0" w:after="0" w:afterAutospacing="0" w:line="276" w:lineRule="auto"/>
        <w:ind w:firstLine="142"/>
        <w:jc w:val="center"/>
        <w:rPr>
          <w:rStyle w:val="lev"/>
          <w:rFonts w:ascii="MS Mincho" w:eastAsia="MS Mincho" w:hAnsi="MS Mincho" w:cs="MS Gothic"/>
          <w:sz w:val="28"/>
          <w:szCs w:val="28"/>
        </w:rPr>
      </w:pPr>
    </w:p>
    <w:p w:rsidR="00A43704" w:rsidRDefault="0072621B" w:rsidP="005D270E">
      <w:pPr>
        <w:pStyle w:val="NormalWeb"/>
        <w:spacing w:before="0" w:beforeAutospacing="0" w:after="0" w:afterAutospacing="0" w:line="276" w:lineRule="auto"/>
        <w:ind w:firstLine="142"/>
        <w:jc w:val="center"/>
        <w:rPr>
          <w:rStyle w:val="lev"/>
          <w:rFonts w:ascii="MS Mincho" w:eastAsia="MS Mincho" w:hAnsi="MS Mincho" w:cs="MS Gothic"/>
          <w:sz w:val="28"/>
          <w:szCs w:val="28"/>
        </w:rPr>
      </w:pPr>
      <w:proofErr w:type="spellStart"/>
      <w:r w:rsidRPr="00A43704">
        <w:rPr>
          <w:rStyle w:val="lev"/>
          <w:rFonts w:ascii="MS Mincho" w:eastAsia="MS Mincho" w:hAnsi="MS Mincho" w:cs="MS Gothic" w:hint="eastAsia"/>
          <w:sz w:val="28"/>
          <w:szCs w:val="28"/>
        </w:rPr>
        <w:t>正法眼蔵第二十三</w:t>
      </w:r>
      <w:proofErr w:type="spellEnd"/>
      <w:r w:rsidRPr="00A43704">
        <w:rPr>
          <w:rStyle w:val="lev"/>
          <w:rFonts w:ascii="MS Mincho" w:eastAsia="MS Mincho" w:hAnsi="MS Mincho" w:cs="MS Gothic" w:hint="eastAsia"/>
          <w:sz w:val="28"/>
          <w:szCs w:val="28"/>
        </w:rPr>
        <w:t xml:space="preserve">　</w:t>
      </w:r>
    </w:p>
    <w:p w:rsidR="0072621B" w:rsidRPr="00A43704" w:rsidRDefault="0072621B" w:rsidP="005D270E">
      <w:pPr>
        <w:pStyle w:val="NormalWeb"/>
        <w:spacing w:before="0" w:beforeAutospacing="0" w:after="0" w:afterAutospacing="0" w:line="276" w:lineRule="auto"/>
        <w:ind w:firstLine="142"/>
        <w:jc w:val="center"/>
        <w:rPr>
          <w:rFonts w:ascii="MS Mincho" w:eastAsia="MS Mincho" w:hAnsi="MS Mincho"/>
          <w:sz w:val="28"/>
          <w:szCs w:val="28"/>
        </w:rPr>
      </w:pPr>
      <w:proofErr w:type="spellStart"/>
      <w:r w:rsidRPr="00A43704">
        <w:rPr>
          <w:rStyle w:val="lev"/>
          <w:rFonts w:ascii="MS Mincho" w:eastAsia="MS Mincho" w:hAnsi="MS Mincho" w:cs="MS Gothic" w:hint="eastAsia"/>
          <w:sz w:val="28"/>
          <w:szCs w:val="28"/>
        </w:rPr>
        <w:t>都機</w:t>
      </w:r>
      <w:proofErr w:type="spellEnd"/>
    </w:p>
    <w:p w:rsidR="0072621B" w:rsidRPr="00A43704" w:rsidRDefault="0072621B" w:rsidP="005D270E">
      <w:pPr>
        <w:pStyle w:val="NormalWeb"/>
        <w:spacing w:before="0" w:beforeAutospacing="0" w:after="240" w:afterAutospacing="0" w:line="276" w:lineRule="auto"/>
        <w:ind w:firstLine="142"/>
        <w:rPr>
          <w:rFonts w:ascii="MS Mincho" w:eastAsia="MS Mincho" w:hAnsi="MS Mincho"/>
          <w:sz w:val="28"/>
          <w:szCs w:val="28"/>
        </w:rPr>
      </w:pPr>
      <w:r w:rsidRPr="00A43704">
        <w:rPr>
          <w:rStyle w:val="lev"/>
          <w:rFonts w:ascii="MS Mincho" w:eastAsia="MS Mincho" w:hAnsi="MS Mincho"/>
          <w:sz w:val="28"/>
          <w:szCs w:val="28"/>
        </w:rPr>
        <w:t xml:space="preserve">  </w:t>
      </w:r>
      <w:r w:rsidR="00402DEE" w:rsidRPr="00A43704">
        <w:rPr>
          <w:rStyle w:val="lev"/>
          <w:rFonts w:ascii="MS Mincho" w:eastAsia="MS Mincho" w:hAnsi="MS Mincho"/>
          <w:sz w:val="28"/>
          <w:szCs w:val="28"/>
        </w:rPr>
        <w:t>I.1.</w:t>
      </w:r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諸月の円成すること、前三々のみにあらず、後三々のみにあらず、円成の諸月なる、前三々のみにあらず、後三々のみにあらず。このゆゑに、釈迦牟尼仏言く、仏真法身、猶若虚空。応物現形、如水中月《仏の真法身は、猶虚空の如し。物に応じて形を現す、水中の月の如し》。</w:t>
      </w:r>
    </w:p>
    <w:p w:rsidR="00402DEE" w:rsidRPr="00A43704" w:rsidRDefault="00402DEE" w:rsidP="005D270E">
      <w:pPr>
        <w:pStyle w:val="NormalWeb"/>
        <w:spacing w:before="0" w:beforeAutospacing="0" w:after="240" w:afterAutospacing="0" w:line="276" w:lineRule="auto"/>
        <w:ind w:firstLine="142"/>
        <w:rPr>
          <w:rStyle w:val="lev"/>
          <w:rFonts w:ascii="MS Mincho" w:eastAsia="MS Mincho" w:hAnsi="MS Mincho" w:cs="MS Gothic"/>
          <w:sz w:val="28"/>
          <w:szCs w:val="28"/>
        </w:rPr>
      </w:pPr>
      <w:r w:rsidRPr="00A43704">
        <w:rPr>
          <w:rStyle w:val="lev"/>
          <w:rFonts w:ascii="MS Mincho" w:eastAsia="MS Mincho" w:hAnsi="MS Mincho" w:cs="MS Gothic"/>
          <w:sz w:val="28"/>
          <w:szCs w:val="28"/>
        </w:rPr>
        <w:t>2.</w:t>
      </w:r>
      <w:r w:rsidR="0072621B" w:rsidRPr="00A43704">
        <w:rPr>
          <w:rStyle w:val="lev"/>
          <w:rFonts w:ascii="MS Mincho" w:eastAsia="MS Mincho" w:hAnsi="MS Mincho" w:cs="MS Gothic" w:hint="eastAsia"/>
          <w:sz w:val="28"/>
          <w:szCs w:val="28"/>
        </w:rPr>
        <w:t>いはゆる如水中月の如々は水月なるべし。水如、月如、如中、中如なるべし。相似を如と道取するにあらず、如は是なり。仏真法身は虚空の猶若なり。この虚空は、猶若の仏真法身なり。仏真法身なるがゆゑに、尽地尽界、尽法尽現、みづから虚空なり。現成せる百草万象の猶若なる、しかしながら仏真法身なり、如水中月なり。</w:t>
      </w:r>
    </w:p>
    <w:p w:rsidR="0072621B" w:rsidRPr="00A43704" w:rsidRDefault="00402DEE" w:rsidP="005D270E">
      <w:pPr>
        <w:pStyle w:val="NormalWeb"/>
        <w:spacing w:before="0" w:beforeAutospacing="0" w:after="240" w:afterAutospacing="0" w:line="276" w:lineRule="auto"/>
        <w:ind w:firstLine="142"/>
        <w:rPr>
          <w:rFonts w:ascii="MS Mincho" w:eastAsia="MS Mincho" w:hAnsi="MS Mincho" w:cs="MS Gothic"/>
          <w:b/>
          <w:bCs/>
          <w:sz w:val="28"/>
          <w:szCs w:val="28"/>
        </w:rPr>
      </w:pPr>
      <w:r w:rsidRPr="00A43704">
        <w:rPr>
          <w:rStyle w:val="lev"/>
          <w:rFonts w:ascii="MS Mincho" w:eastAsia="MS Mincho" w:hAnsi="MS Mincho" w:cs="MS Gothic"/>
          <w:sz w:val="28"/>
          <w:szCs w:val="28"/>
        </w:rPr>
        <w:t>3.</w:t>
      </w:r>
      <w:r w:rsidR="0072621B" w:rsidRPr="00A43704">
        <w:rPr>
          <w:rStyle w:val="lev"/>
          <w:rFonts w:ascii="MS Mincho" w:eastAsia="MS Mincho" w:hAnsi="MS Mincho" w:cs="MS Gothic" w:hint="eastAsia"/>
          <w:sz w:val="28"/>
          <w:szCs w:val="28"/>
        </w:rPr>
        <w:t>月のときはかならず夜にあらず、夜かならずしも暗にあらず。ひとへに人間の小量にかかはることなかれ。日月なきところにも昼夜あるべし、日月は昼夜のためにあらず、日月ともに如々なるがゆゑに、一月両月にあらず、千月万月にあらず。月の自己、たとひ一月両月の見解を保任ほうすといふとも、これは月の見解なり、かならずしも仏道の道取にあらず、仏道の知見にあらず。しかあれば、昨夜たとひ月ありといふとも、今夜の月は昨月にあらず、今夜の月は初中後ともに今夜の月なりと参究すべし。月は月に相嗣するがゆゑに、月ありといへども、新旧にあらず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5D270E" w:rsidRPr="00A43704" w:rsidRDefault="005D270E" w:rsidP="005D270E">
      <w:pPr>
        <w:pStyle w:val="NormalWeb"/>
        <w:spacing w:before="0" w:beforeAutospacing="0" w:after="240" w:afterAutospacing="0" w:line="276" w:lineRule="auto"/>
        <w:jc w:val="center"/>
        <w:rPr>
          <w:rFonts w:ascii="MS Mincho" w:eastAsia="MS Mincho" w:hAnsi="MS Mincho"/>
          <w:sz w:val="28"/>
          <w:szCs w:val="28"/>
        </w:rPr>
      </w:pPr>
      <w:r w:rsidRPr="00A43704">
        <w:rPr>
          <w:rFonts w:ascii="MS Mincho" w:eastAsia="MS Mincho" w:hAnsi="MS Mincho"/>
          <w:sz w:val="28"/>
          <w:szCs w:val="28"/>
        </w:rPr>
        <w:t>*</w:t>
      </w:r>
    </w:p>
    <w:p w:rsidR="005D270E" w:rsidRPr="00A43704" w:rsidRDefault="00402DEE" w:rsidP="005D270E">
      <w:pPr>
        <w:pStyle w:val="NormalWeb"/>
        <w:spacing w:before="0" w:beforeAutospacing="0" w:after="240" w:afterAutospacing="0" w:line="276" w:lineRule="auto"/>
        <w:rPr>
          <w:rFonts w:ascii="MS Mincho" w:eastAsia="MS Mincho" w:hAnsi="MS Mincho"/>
          <w:b/>
          <w:bCs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II.1.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盤山宝積禅師云く、心月孤円、光呑万象。光非照境、境亦非存。光境倶亡、復是何物《心月孤円、光、万象を呑めり。光、境を照らすに非ず、境亦存するに非ず。光境倶に亡ず、復是れ何物ぞ》。</w:t>
      </w:r>
    </w:p>
    <w:p w:rsidR="00751EE4" w:rsidRPr="00A43704" w:rsidRDefault="00402DEE" w:rsidP="005D270E">
      <w:pPr>
        <w:pStyle w:val="NormalWeb"/>
        <w:spacing w:before="0" w:beforeAutospacing="0" w:after="240" w:afterAutospacing="0" w:line="276" w:lineRule="auto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lastRenderedPageBreak/>
        <w:t>2.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いまいふところは、仏祖仏子、かならず心月あり。月を心とせるがゆゑに。月にあらざれば心にあらず、心にあらざる月なし。孤円といふは、虧闕せざるなり。両三にあらざるを万象といふ。万象これ月光にして万象にあらず。このゆゑに光呑万象なり。万象おのづから月光を呑尽せるがゆゑに、光の光を呑却するを、光呑万象といふなり。たとへば、月呑月なるべし、光呑月なるべし。ここをもて、光非照境、境亦非存と道取するなり。</w:t>
      </w:r>
    </w:p>
    <w:p w:rsidR="00751EE4" w:rsidRPr="00A43704" w:rsidRDefault="009E3EF8" w:rsidP="005D270E">
      <w:pPr>
        <w:pStyle w:val="NormalWeb"/>
        <w:spacing w:before="0" w:beforeAutospacing="0" w:after="240" w:afterAutospacing="0" w:line="276" w:lineRule="auto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3.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得恁麼なるゆゑに、応以仏身得度者《応に仏身を以て度すべきことを得べき者》のとき、即現仏身而為説法《即ち普く現ずる色身を現じて為に法を説く》なり。応以普現色身得度者《応に普く現ずる色心を以て度すことを得べき者》のとき、即現普現色身而為説法《即ち普く現ずる色心を現じて為に法を説く》なり。これ月中の転法輪にあらずといふことなし。たとひ陰精陽精の光象するところ、火珠水珠の所成なりとも、即現現成なり。この心すなはち月なり、この月おのづから心なり。仏祖仏子の心を究理究事すること、かくのごとし。</w:t>
      </w:r>
    </w:p>
    <w:p w:rsidR="00751EE4" w:rsidRPr="00A43704" w:rsidRDefault="00751EE4" w:rsidP="005D270E">
      <w:pPr>
        <w:pStyle w:val="NormalWeb"/>
        <w:spacing w:before="0" w:beforeAutospacing="0" w:after="240" w:afterAutospacing="0" w:line="276" w:lineRule="auto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4.</w:t>
      </w:r>
      <w:proofErr w:type="spellStart"/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古仏いはく、一心一切法、一切法一心</w:t>
      </w:r>
      <w:proofErr w:type="spellEnd"/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72621B" w:rsidRPr="00A43704" w:rsidRDefault="0072621B" w:rsidP="005D270E">
      <w:pPr>
        <w:pStyle w:val="NormalWeb"/>
        <w:spacing w:before="0" w:beforeAutospacing="0" w:after="240" w:afterAutospacing="0" w:line="276" w:lineRule="auto"/>
        <w:ind w:firstLine="142"/>
        <w:rPr>
          <w:rFonts w:ascii="MS Mincho" w:eastAsia="MS Mincho" w:hAnsi="MS Mincho"/>
          <w:b/>
          <w:bCs/>
          <w:sz w:val="28"/>
          <w:szCs w:val="28"/>
        </w:rPr>
      </w:pPr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しかあれば、心は一切法なり、一切法は心なり。心は月なるがゆゑに、月は月なるべし。心なる一切法、これことごとく月なるがゆゑに、遍界は遍月なり。通身ことごとく通月なり。たとひ直須万年の前後三々、いづれか月にあらざらん。いまの身心依正なる日面仏月面仏、おなじく月中なるべし。生死去来ともに月にあり。尽十方界は月中の上下左右なるべし。いまの日用、すなはち月中の明々百草頭なり、月中の明々祖師心なり。</w:t>
      </w:r>
    </w:p>
    <w:p w:rsidR="005D270E" w:rsidRPr="00A43704" w:rsidRDefault="005D270E" w:rsidP="005D270E">
      <w:pPr>
        <w:pStyle w:val="NormalWeb"/>
        <w:spacing w:before="0" w:beforeAutospacing="0" w:after="240" w:afterAutospacing="0" w:line="276" w:lineRule="auto"/>
        <w:ind w:firstLine="142"/>
        <w:jc w:val="center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*</w:t>
      </w:r>
    </w:p>
    <w:p w:rsidR="005D270E" w:rsidRPr="00A43704" w:rsidRDefault="00751EE4" w:rsidP="005D270E">
      <w:pPr>
        <w:pStyle w:val="NormalWeb"/>
        <w:spacing w:before="0" w:beforeAutospacing="0" w:after="240" w:afterAutospacing="0" w:line="276" w:lineRule="auto"/>
        <w:ind w:firstLine="284"/>
        <w:rPr>
          <w:rFonts w:ascii="MS Mincho" w:eastAsia="MS Mincho" w:hAnsi="MS Mincho"/>
          <w:b/>
          <w:bCs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III.1.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舒州投子山慈済大師、因みに僧問ふ、月未円時如何《月未円なる時、如何》。師云く、呑却三箇四箇《三箇四箇を呑却す》。僧云く、円後如何《円なる後、如何》。師云く、吐却七箇八箇《七箇八箇</w:t>
      </w:r>
      <w:r w:rsidR="0072621B" w:rsidRPr="00A43704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を吐却す</w:t>
      </w:r>
      <w:proofErr w:type="spellEnd"/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A43704" w:rsidRDefault="00751EE4" w:rsidP="00A43704">
      <w:pPr>
        <w:pStyle w:val="NormalWeb"/>
        <w:spacing w:before="0" w:beforeAutospacing="0" w:after="0" w:afterAutospacing="0" w:line="276" w:lineRule="auto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2.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いま参究するところは</w:t>
      </w:r>
      <w:r w:rsidR="0072621B" w:rsidRPr="00A43704">
        <w:rPr>
          <w:rStyle w:val="lev"/>
          <w:rFonts w:ascii="MS Mincho" w:eastAsia="MS Mincho" w:hAnsi="MS Mincho" w:cs="MS Mincho" w:hint="eastAsia"/>
        </w:rPr>
        <w:t>、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未円なり</w:t>
      </w:r>
      <w:r w:rsidR="0072621B" w:rsidRPr="00A43704">
        <w:rPr>
          <w:rStyle w:val="lev"/>
          <w:rFonts w:ascii="MS Mincho" w:eastAsia="MS Mincho" w:hAnsi="MS Mincho" w:cs="MS Mincho" w:hint="eastAsia"/>
        </w:rPr>
        <w:t>、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円後なり、ともにそれ月の造次なり。月に三箇四箇あるなかに、未円の一枚あり。月に七箇八箇あるなかに、円後の一枚あり。呑却は三箇四箇なり。このとき、月未円時の見成なり。吐却は七箇八箇なり。このとき、円後の見成なり。月の月を呑却するに、三箇四箇なり。呑却に月ありて現成す、月は呑却の見成なり。月の月を吐却するに、七箇八箇あり。吐却に月ありて現成す。月は吐却の現成なり。</w:t>
      </w:r>
    </w:p>
    <w:p w:rsidR="005D270E" w:rsidRPr="00A43704" w:rsidRDefault="0072621B" w:rsidP="005D270E">
      <w:pPr>
        <w:pStyle w:val="NormalWeb"/>
        <w:spacing w:before="0" w:beforeAutospacing="0" w:after="240" w:afterAutospacing="0" w:line="276" w:lineRule="auto"/>
        <w:rPr>
          <w:rStyle w:val="lev"/>
          <w:rFonts w:ascii="MS Mincho" w:eastAsia="MS Mincho" w:hAnsi="MS Mincho"/>
          <w:sz w:val="28"/>
          <w:szCs w:val="28"/>
        </w:rPr>
      </w:pPr>
      <w:proofErr w:type="spellStart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このゆゑに、呑却尽なり、吐却尽なり。尽地尽天吐却なり、蓋天蓋地呑却なり。呑自呑他すべし、吐自吐他すべし</w:t>
      </w:r>
      <w:proofErr w:type="spellEnd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5D270E" w:rsidRPr="00A43704" w:rsidRDefault="005D270E" w:rsidP="005D270E">
      <w:pPr>
        <w:pStyle w:val="NormalWeb"/>
        <w:spacing w:before="0" w:beforeAutospacing="0" w:after="240" w:afterAutospacing="0" w:line="276" w:lineRule="auto"/>
        <w:ind w:firstLine="142"/>
        <w:jc w:val="center"/>
        <w:rPr>
          <w:rStyle w:val="lev"/>
          <w:rFonts w:ascii="MS Mincho" w:eastAsia="MS Mincho" w:hAnsi="MS Mincho"/>
          <w:sz w:val="28"/>
          <w:szCs w:val="28"/>
        </w:rPr>
      </w:pPr>
      <w:r w:rsidRPr="00A43704">
        <w:rPr>
          <w:rStyle w:val="lev"/>
          <w:rFonts w:ascii="MS Mincho" w:eastAsia="MS Mincho" w:hAnsi="MS Mincho"/>
          <w:sz w:val="28"/>
          <w:szCs w:val="28"/>
        </w:rPr>
        <w:t>*</w:t>
      </w:r>
    </w:p>
    <w:p w:rsidR="00AE6407" w:rsidRPr="00A43704" w:rsidRDefault="00751EE4" w:rsidP="005D270E">
      <w:pPr>
        <w:pStyle w:val="NormalWeb"/>
        <w:spacing w:before="0" w:beforeAutospacing="0" w:after="240" w:afterAutospacing="0" w:line="276" w:lineRule="auto"/>
        <w:ind w:firstLine="142"/>
        <w:rPr>
          <w:rStyle w:val="lev"/>
          <w:rFonts w:ascii="MS Mincho" w:eastAsia="MS Mincho" w:hAnsi="MS Mincho"/>
          <w:b w:val="0"/>
          <w:bCs w:val="0"/>
          <w:sz w:val="28"/>
          <w:szCs w:val="28"/>
        </w:rPr>
      </w:pPr>
      <w:r w:rsidRPr="00A43704">
        <w:rPr>
          <w:rStyle w:val="lev"/>
          <w:rFonts w:ascii="MS Mincho" w:eastAsia="MS Mincho" w:hAnsi="MS Mincho"/>
          <w:sz w:val="28"/>
          <w:szCs w:val="28"/>
        </w:rPr>
        <w:t>IV.1.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釈迦牟尼仏、金剛蔵菩薩に告げて言く、譬如動目能揺湛水、又如定眼猶廻転火。雲駛月運、舟行岸移、亦復如是《譬へば動目の能く湛水を揺がすが如く、又、定眼の猶火を廻転せしむるが如し。雲駛れば月運り、舟行けば岸移る、亦復是の如し》。</w:t>
      </w:r>
    </w:p>
    <w:p w:rsidR="005D270E" w:rsidRPr="00A43704" w:rsidRDefault="00AE6407" w:rsidP="005D270E">
      <w:pPr>
        <w:pStyle w:val="NormalWeb"/>
        <w:spacing w:before="0" w:beforeAutospacing="0" w:after="240" w:afterAutospacing="0" w:line="276" w:lineRule="auto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2.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いま仏演説の雲駛月運、舟行岸移、あきらめ参究すべし。倉卒に学すべからず。凡情に順ずべからず。しかあるに、この仏説を仏説のごとく見聞するものまれなり。もしよく仏説のごとく学習するといふは、円覚かならずしも身心にあらず、菩提涅槃にあらず。菩提涅槃かならずしも円覚にあらず、身心にあらざる</w:t>
      </w:r>
      <w:r w:rsidR="0072621B" w:rsidRPr="00A43704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なり</w:t>
      </w:r>
      <w:proofErr w:type="spellEnd"/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72621B" w:rsidRPr="00A43704" w:rsidRDefault="00AE6407" w:rsidP="00A43704">
      <w:pPr>
        <w:pStyle w:val="NormalWeb"/>
        <w:spacing w:before="0" w:beforeAutospacing="0" w:after="240" w:afterAutospacing="0" w:line="276" w:lineRule="auto"/>
        <w:rPr>
          <w:rFonts w:ascii="MS Mincho" w:eastAsia="MS Mincho" w:hAnsi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3.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いま如来道の雲駛月運、舟行岸移は、雲駛のとき、月運なり、舟行のとき、岸移なり。いふ宗旨は、雲と月と、同時同道して同歩同運すること、始終にあらず</w:t>
      </w:r>
      <w:r w:rsidR="0072621B" w:rsidRPr="00A43704">
        <w:rPr>
          <w:rStyle w:val="lev"/>
          <w:rFonts w:ascii="MS Mincho" w:eastAsia="MS Mincho" w:hAnsi="MS Mincho" w:cs="MS Mincho" w:hint="eastAsia"/>
        </w:rPr>
        <w:t>、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前後にあらず</w:t>
      </w:r>
      <w:r w:rsidR="0072621B" w:rsidRPr="00A43704">
        <w:rPr>
          <w:rStyle w:val="lev"/>
          <w:rFonts w:ascii="MS Mincho" w:eastAsia="MS Mincho" w:hAnsi="MS Mincho" w:cs="MS Mincho" w:hint="eastAsia"/>
        </w:rPr>
        <w:t>。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舟と岸と</w:t>
      </w:r>
      <w:r w:rsidR="0072621B" w:rsidRPr="00A43704">
        <w:rPr>
          <w:rStyle w:val="lev"/>
          <w:rFonts w:ascii="MS Mincho" w:eastAsia="MS Mincho" w:hAnsi="MS Mincho" w:cs="MS Mincho" w:hint="eastAsia"/>
        </w:rPr>
        <w:t>、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同時同道して同歩同運すること、起止にあらず、流転にあらず。たとひ人の行を学すとも、人の行は起止にあらず、起止の行は人にあらざるなり。起止を挙揚して、人の行に比量することなかれ</w:t>
      </w:r>
      <w:r w:rsidR="0072621B" w:rsidRPr="00A43704">
        <w:rPr>
          <w:rStyle w:val="lev"/>
          <w:rFonts w:ascii="MS Mincho" w:eastAsia="MS Mincho" w:hAnsi="MS Mincho" w:cs="MS Mincho" w:hint="eastAsia"/>
        </w:rPr>
        <w:t>、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雲の駛も月の運も</w:t>
      </w:r>
      <w:r w:rsidR="0072621B" w:rsidRPr="00A43704">
        <w:rPr>
          <w:rStyle w:val="lev"/>
          <w:rFonts w:ascii="MS Mincho" w:eastAsia="MS Mincho" w:hAnsi="MS Mincho" w:cs="MS Mincho" w:hint="eastAsia"/>
        </w:rPr>
        <w:t>、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舟の行も岸の移も、みなかくのごとし。おろかに少量の見に局量することなかれ。雲の駛は東西南北をとはず、月の運は昼夜古今に休息なき宗旨、わすれざるべし。舟の行および岸の移、ともに三世にかかはれず、よく三世を使用するものなり。このゆゑに、直至如今飽不飢《直に如今に至るまで飽いて饑えず》なり。</w:t>
      </w:r>
    </w:p>
    <w:p w:rsidR="00DC6F72" w:rsidRPr="00A43704" w:rsidRDefault="0072621B" w:rsidP="005D270E">
      <w:pPr>
        <w:pStyle w:val="NormalWeb"/>
        <w:spacing w:before="0" w:beforeAutospacing="0" w:after="240" w:afterAutospacing="0" w:line="276" w:lineRule="auto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Fonts w:ascii="MS Mincho" w:eastAsia="MS Mincho" w:hAnsi="MS Mincho"/>
          <w:sz w:val="28"/>
          <w:szCs w:val="28"/>
        </w:rPr>
        <w:t> </w:t>
      </w:r>
      <w:r w:rsidR="00AE6407" w:rsidRPr="00A43704">
        <w:rPr>
          <w:rStyle w:val="lev"/>
          <w:rFonts w:ascii="MS Mincho" w:eastAsia="MS Mincho" w:hAnsi="MS Mincho" w:cs="MS Mincho"/>
          <w:sz w:val="28"/>
          <w:szCs w:val="28"/>
        </w:rPr>
        <w:t>4.</w:t>
      </w:r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しかあるを、愚人おもはくは、くものはしるによりて、うごかざる月をうごくとみる、舟のゆくによりて、うつらざる岸をうつるとみゆると見解せり。もし愚人のいふがごとくならんは、いかでか如来の道ならん。仏法の宗旨、いまだ人天の少量にあらず。ただ不可量なりといへども、随機の修行あるのみなり。たれか舟岸を再三撈摝せざらん、たれか雲月を急著眼看せざらん。</w:t>
      </w:r>
    </w:p>
    <w:p w:rsidR="00A43704" w:rsidRDefault="00DC6F72" w:rsidP="00A43704">
      <w:pPr>
        <w:pStyle w:val="NormalWeb"/>
        <w:spacing w:before="0" w:beforeAutospacing="0" w:after="0" w:afterAutospacing="0" w:line="276" w:lineRule="auto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/>
          <w:sz w:val="28"/>
          <w:szCs w:val="28"/>
        </w:rPr>
        <w:t>5.</w:t>
      </w:r>
      <w:r w:rsidR="0072621B"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しるべし、如来道は、雲を什麼法に譬せず、月を什麼法に譬せず、舟を什麼法に譬せず、岸を什麼法に譬せざる道理、しづかに功夫参学すべきなり。月の一歩は如来の円覚なり、如来の円覚は月の運為なり。</w:t>
      </w:r>
    </w:p>
    <w:p w:rsidR="00A43704" w:rsidRDefault="0072621B" w:rsidP="00A43704">
      <w:pPr>
        <w:pStyle w:val="NormalWeb"/>
        <w:spacing w:before="0" w:beforeAutospacing="0" w:after="0" w:afterAutospacing="0" w:line="276" w:lineRule="auto"/>
        <w:rPr>
          <w:rStyle w:val="lev"/>
          <w:rFonts w:ascii="MS Mincho" w:eastAsia="MS Mincho" w:hAnsi="MS Mincho" w:cs="MS Mincho"/>
          <w:sz w:val="28"/>
          <w:szCs w:val="28"/>
        </w:rPr>
      </w:pPr>
      <w:proofErr w:type="spellStart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動止にあらず、進退にあらず。すでに月運は譬喩にあらざれば、孤円の性相なり</w:t>
      </w:r>
      <w:proofErr w:type="spellEnd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Pr="00A43704">
        <w:rPr>
          <w:rFonts w:ascii="MS Mincho" w:eastAsia="MS Mincho" w:hAnsi="MS Mincho"/>
          <w:b/>
          <w:bCs/>
          <w:sz w:val="28"/>
          <w:szCs w:val="28"/>
        </w:rPr>
        <w:br/>
      </w:r>
      <w:r w:rsidR="00AE6407" w:rsidRPr="00A43704">
        <w:rPr>
          <w:rStyle w:val="lev"/>
          <w:rFonts w:ascii="MS Mincho" w:eastAsia="MS Mincho" w:hAnsi="MS Mincho" w:cs="MS Mincho"/>
          <w:sz w:val="28"/>
          <w:szCs w:val="28"/>
        </w:rPr>
        <w:t>6.</w:t>
      </w:r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しるべし、月の運度はたとひ駛なりとも、初中後にあらざるなり。このゆゑに、第一月、第二月あるなり。第一、第二、おなじくこれ月なり。</w:t>
      </w:r>
    </w:p>
    <w:p w:rsidR="0072621B" w:rsidRPr="00A43704" w:rsidRDefault="0072621B" w:rsidP="00A43704">
      <w:pPr>
        <w:pStyle w:val="NormalWeb"/>
        <w:spacing w:before="0" w:beforeAutospacing="0" w:after="240" w:afterAutospacing="0" w:line="276" w:lineRule="auto"/>
        <w:rPr>
          <w:rStyle w:val="lev"/>
          <w:rFonts w:ascii="MS Mincho" w:eastAsia="MS Mincho" w:hAnsi="MS Mincho" w:cs="MS Mincho"/>
          <w:sz w:val="28"/>
          <w:szCs w:val="28"/>
        </w:rPr>
      </w:pPr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正好修行これ月なり、正好供養これ月なり、仏袖便行これ月なり。円尖は去来の輪転にあらざるなり。去来輪転を使用し、使用せず、放行し、把定し、逞風流するがゆゑに、かくのごとくの諸月なるなり。</w:t>
      </w:r>
    </w:p>
    <w:p w:rsidR="005D270E" w:rsidRPr="00A43704" w:rsidRDefault="005D270E" w:rsidP="005D270E">
      <w:pPr>
        <w:pStyle w:val="NormalWeb"/>
        <w:spacing w:before="0" w:beforeAutospacing="0" w:after="0" w:afterAutospacing="0" w:line="276" w:lineRule="auto"/>
        <w:ind w:firstLine="142"/>
        <w:rPr>
          <w:rFonts w:ascii="MS Mincho" w:eastAsia="MS Mincho" w:hAnsi="MS Mincho"/>
          <w:sz w:val="28"/>
          <w:szCs w:val="28"/>
        </w:rPr>
      </w:pPr>
    </w:p>
    <w:p w:rsidR="0072621B" w:rsidRPr="00A43704" w:rsidRDefault="0072621B" w:rsidP="005D270E">
      <w:pPr>
        <w:pStyle w:val="NormalWeb"/>
        <w:spacing w:before="0" w:beforeAutospacing="0" w:after="0" w:afterAutospacing="0" w:line="276" w:lineRule="auto"/>
        <w:ind w:firstLine="142"/>
        <w:jc w:val="center"/>
        <w:rPr>
          <w:rFonts w:ascii="MS Mincho" w:eastAsia="MS Mincho" w:hAnsi="MS Mincho"/>
          <w:sz w:val="28"/>
          <w:szCs w:val="28"/>
        </w:rPr>
      </w:pPr>
      <w:proofErr w:type="spellStart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正法眼蔵都機第二十三</w:t>
      </w:r>
      <w:proofErr w:type="spellEnd"/>
    </w:p>
    <w:p w:rsidR="0072621B" w:rsidRPr="005D270E" w:rsidRDefault="0072621B" w:rsidP="005D270E">
      <w:pPr>
        <w:pStyle w:val="NormalWeb"/>
        <w:spacing w:before="0" w:beforeAutospacing="0" w:after="0" w:afterAutospacing="0" w:line="276" w:lineRule="auto"/>
        <w:ind w:firstLine="142"/>
        <w:jc w:val="center"/>
        <w:rPr>
          <w:rFonts w:ascii="MS Mincho" w:eastAsia="MS Mincho" w:hAnsi="MS Mincho"/>
          <w:sz w:val="28"/>
          <w:szCs w:val="28"/>
        </w:rPr>
      </w:pPr>
      <w:proofErr w:type="spellStart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仁治癸卯端月六日書于観音導利興聖宝林寺</w:t>
      </w:r>
      <w:proofErr w:type="spellEnd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proofErr w:type="spellStart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沙門</w:t>
      </w:r>
      <w:proofErr w:type="spellEnd"/>
      <w:r w:rsidRPr="00A43704">
        <w:rPr>
          <w:rFonts w:ascii="MS Mincho" w:eastAsia="MS Mincho" w:hAnsi="MS Mincho"/>
          <w:sz w:val="28"/>
          <w:szCs w:val="28"/>
        </w:rPr>
        <w:br/>
      </w:r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proofErr w:type="spellStart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寛元癸卯解制前日書写之</w:t>
      </w:r>
      <w:proofErr w:type="spellEnd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proofErr w:type="spellStart"/>
      <w:r w:rsidRPr="00A43704">
        <w:rPr>
          <w:rStyle w:val="lev"/>
          <w:rFonts w:ascii="MS Mincho" w:eastAsia="MS Mincho" w:hAnsi="MS Mincho" w:cs="MS Mincho" w:hint="eastAsia"/>
          <w:sz w:val="28"/>
          <w:szCs w:val="28"/>
        </w:rPr>
        <w:t>懐弉</w:t>
      </w:r>
      <w:proofErr w:type="spellEnd"/>
    </w:p>
    <w:p w:rsidR="00050A68" w:rsidRPr="005D270E" w:rsidRDefault="0072621B" w:rsidP="005D270E">
      <w:pPr>
        <w:pStyle w:val="NormalWeb"/>
        <w:spacing w:before="0" w:beforeAutospacing="0" w:after="0" w:afterAutospacing="0" w:line="276" w:lineRule="auto"/>
        <w:ind w:firstLine="142"/>
        <w:rPr>
          <w:rFonts w:ascii="MS Mincho" w:eastAsia="MS Mincho" w:hAnsi="MS Mincho"/>
          <w:sz w:val="28"/>
          <w:szCs w:val="28"/>
        </w:rPr>
      </w:pPr>
      <w:r w:rsidRPr="005D270E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</w:p>
    <w:p w:rsidR="00050A68" w:rsidRPr="005D270E" w:rsidRDefault="00050A68" w:rsidP="005D270E">
      <w:pPr>
        <w:spacing w:after="0"/>
        <w:ind w:firstLine="142"/>
        <w:rPr>
          <w:rFonts w:ascii="MS Mincho" w:eastAsia="MS Mincho" w:hAnsi="MS Mincho"/>
          <w:sz w:val="28"/>
          <w:szCs w:val="28"/>
        </w:rPr>
      </w:pPr>
    </w:p>
    <w:sectPr w:rsidR="00050A68" w:rsidRPr="005D270E" w:rsidSect="002869C9">
      <w:headerReference w:type="default" r:id="rId8"/>
      <w:pgSz w:w="11906" w:h="16838"/>
      <w:pgMar w:top="1276" w:right="127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5A" w:rsidRDefault="00A3005A" w:rsidP="002B16C3">
      <w:pPr>
        <w:spacing w:after="0" w:line="240" w:lineRule="auto"/>
      </w:pPr>
      <w:r>
        <w:separator/>
      </w:r>
    </w:p>
  </w:endnote>
  <w:endnote w:type="continuationSeparator" w:id="0">
    <w:p w:rsidR="00A3005A" w:rsidRDefault="00A3005A" w:rsidP="002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5A" w:rsidRDefault="00A3005A" w:rsidP="002B16C3">
      <w:pPr>
        <w:spacing w:after="0" w:line="240" w:lineRule="auto"/>
      </w:pPr>
      <w:r>
        <w:separator/>
      </w:r>
    </w:p>
  </w:footnote>
  <w:footnote w:type="continuationSeparator" w:id="0">
    <w:p w:rsidR="00A3005A" w:rsidRDefault="00A3005A" w:rsidP="002B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745242"/>
      <w:docPartObj>
        <w:docPartGallery w:val="Page Numbers (Top of Page)"/>
        <w:docPartUnique/>
      </w:docPartObj>
    </w:sdtPr>
    <w:sdtContent>
      <w:p w:rsidR="002B16C3" w:rsidRDefault="002B16C3">
        <w:pPr>
          <w:pStyle w:val="En-tte"/>
          <w:jc w:val="right"/>
        </w:pPr>
        <w:proofErr w:type="spellStart"/>
        <w:r w:rsidRPr="002B16C3">
          <w:rPr>
            <w:sz w:val="20"/>
            <w:szCs w:val="20"/>
          </w:rPr>
          <w:t>Tsuki</w:t>
        </w:r>
        <w:proofErr w:type="spellEnd"/>
        <w:r w:rsidRPr="002B16C3">
          <w:rPr>
            <w:sz w:val="20"/>
            <w:szCs w:val="20"/>
          </w:rPr>
          <w:t xml:space="preserve"> en japonais. Publié sur </w:t>
        </w:r>
        <w:hyperlink r:id="rId1" w:history="1">
          <w:r w:rsidRPr="002B16C3">
            <w:rPr>
              <w:rStyle w:val="Lienhypertexte"/>
              <w:sz w:val="20"/>
              <w:szCs w:val="20"/>
            </w:rPr>
            <w:t>www.shobogenzo.eu</w:t>
          </w:r>
        </w:hyperlink>
        <w:r w:rsidRPr="002B16C3">
          <w:rPr>
            <w:sz w:val="20"/>
            <w:szCs w:val="20"/>
          </w:rPr>
          <w:t xml:space="preserve"> </w:t>
        </w:r>
        <w:r>
          <w:t xml:space="preserve">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34C9">
          <w:rPr>
            <w:noProof/>
          </w:rPr>
          <w:t>4</w:t>
        </w:r>
        <w:r>
          <w:fldChar w:fldCharType="end"/>
        </w:r>
      </w:p>
    </w:sdtContent>
  </w:sdt>
  <w:p w:rsidR="002B16C3" w:rsidRDefault="002B16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21B"/>
    <w:rsid w:val="00050A68"/>
    <w:rsid w:val="00274B41"/>
    <w:rsid w:val="002869C9"/>
    <w:rsid w:val="002B16C3"/>
    <w:rsid w:val="00402DEE"/>
    <w:rsid w:val="005A73D4"/>
    <w:rsid w:val="005D270E"/>
    <w:rsid w:val="0072621B"/>
    <w:rsid w:val="00751EE4"/>
    <w:rsid w:val="008E6B12"/>
    <w:rsid w:val="009E3EF8"/>
    <w:rsid w:val="00A3005A"/>
    <w:rsid w:val="00A43704"/>
    <w:rsid w:val="00AE6407"/>
    <w:rsid w:val="00B434C9"/>
    <w:rsid w:val="00C672FD"/>
    <w:rsid w:val="00D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621B"/>
    <w:rPr>
      <w:b/>
      <w:bCs/>
    </w:rPr>
  </w:style>
  <w:style w:type="character" w:styleId="Accentuation">
    <w:name w:val="Emphasis"/>
    <w:basedOn w:val="Policepardfaut"/>
    <w:uiPriority w:val="20"/>
    <w:qFormat/>
    <w:rsid w:val="00A43704"/>
    <w:rPr>
      <w:i/>
      <w:iCs/>
    </w:rPr>
  </w:style>
  <w:style w:type="character" w:styleId="Lienhypertexte">
    <w:name w:val="Hyperlink"/>
    <w:basedOn w:val="Policepardfaut"/>
    <w:uiPriority w:val="99"/>
    <w:unhideWhenUsed/>
    <w:rsid w:val="00A43704"/>
    <w:rPr>
      <w:color w:val="0000FF" w:themeColor="hyperlink"/>
      <w:u w:val="single"/>
    </w:rPr>
  </w:style>
  <w:style w:type="character" w:customStyle="1" w:styleId="taille10">
    <w:name w:val="taille10"/>
    <w:basedOn w:val="Policepardfaut"/>
    <w:rsid w:val="00A43704"/>
  </w:style>
  <w:style w:type="paragraph" w:styleId="En-tte">
    <w:name w:val="header"/>
    <w:basedOn w:val="Normal"/>
    <w:link w:val="En-tteCar"/>
    <w:uiPriority w:val="99"/>
    <w:unhideWhenUsed/>
    <w:rsid w:val="002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6C3"/>
  </w:style>
  <w:style w:type="paragraph" w:styleId="Pieddepage">
    <w:name w:val="footer"/>
    <w:basedOn w:val="Normal"/>
    <w:link w:val="PieddepageCar"/>
    <w:uiPriority w:val="99"/>
    <w:unhideWhenUsed/>
    <w:rsid w:val="002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obogenzo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8</cp:revision>
  <cp:lastPrinted>2015-10-31T17:15:00Z</cp:lastPrinted>
  <dcterms:created xsi:type="dcterms:W3CDTF">2012-12-09T20:55:00Z</dcterms:created>
  <dcterms:modified xsi:type="dcterms:W3CDTF">2015-10-31T17:23:00Z</dcterms:modified>
</cp:coreProperties>
</file>