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D9EB6" w14:textId="222FB4F7" w:rsidR="0092598D" w:rsidRPr="00312EA8" w:rsidRDefault="00E33038" w:rsidP="007C001E">
      <w:pPr>
        <w:pStyle w:val="Titre"/>
        <w:jc w:val="center"/>
        <w:rPr>
          <w:sz w:val="44"/>
          <w:szCs w:val="44"/>
        </w:rPr>
      </w:pPr>
      <w:r w:rsidRPr="00312EA8">
        <w:rPr>
          <w:sz w:val="44"/>
          <w:szCs w:val="44"/>
        </w:rPr>
        <w:t>Le contentieux de la Sécurité sociale et l’article 6 §1 de la Convention européenne de sauvegarde des droits de l’Homme</w:t>
      </w:r>
      <w:r w:rsidR="00312EA8" w:rsidRPr="00312EA8">
        <w:rPr>
          <w:sz w:val="44"/>
          <w:szCs w:val="44"/>
        </w:rPr>
        <w:t xml:space="preserve"> et des Libertés fondamentales</w:t>
      </w:r>
      <w:r w:rsidRPr="00312EA8">
        <w:rPr>
          <w:sz w:val="44"/>
          <w:szCs w:val="44"/>
        </w:rPr>
        <w:t>.</w:t>
      </w:r>
    </w:p>
    <w:p w14:paraId="2F2C7D07" w14:textId="62B892E1" w:rsidR="00457465" w:rsidRPr="00F43DDD" w:rsidRDefault="004F6A68" w:rsidP="0065212E">
      <w:pPr>
        <w:jc w:val="both"/>
        <w:rPr>
          <w:color w:val="4F81BD" w:themeColor="accent1"/>
        </w:rPr>
      </w:pPr>
      <w:r>
        <w:rPr>
          <w:color w:val="4F81BD" w:themeColor="accent1"/>
        </w:rPr>
        <w:t>Bien que</w:t>
      </w:r>
      <w:r w:rsidR="0091713B">
        <w:rPr>
          <w:color w:val="4F81BD" w:themeColor="accent1"/>
        </w:rPr>
        <w:t xml:space="preserve"> la </w:t>
      </w:r>
      <w:r w:rsidR="001F2E84">
        <w:rPr>
          <w:color w:val="4F81BD" w:themeColor="accent1"/>
        </w:rPr>
        <w:t>Convention européenne de sauvegarde des droits de l’Homme</w:t>
      </w:r>
      <w:r w:rsidR="0091713B">
        <w:rPr>
          <w:color w:val="4F81BD" w:themeColor="accent1"/>
        </w:rPr>
        <w:t xml:space="preserve"> ne reconna</w:t>
      </w:r>
      <w:r>
        <w:rPr>
          <w:color w:val="4F81BD" w:themeColor="accent1"/>
        </w:rPr>
        <w:t>isse</w:t>
      </w:r>
      <w:r w:rsidR="0091713B">
        <w:rPr>
          <w:color w:val="4F81BD" w:themeColor="accent1"/>
        </w:rPr>
        <w:t xml:space="preserve"> que des droits civils et politiques, son influence sur les droits sociaux n</w:t>
      </w:r>
      <w:r>
        <w:rPr>
          <w:color w:val="4F81BD" w:themeColor="accent1"/>
        </w:rPr>
        <w:t xml:space="preserve">e doit pas </w:t>
      </w:r>
      <w:r w:rsidR="0091713B">
        <w:rPr>
          <w:color w:val="4F81BD" w:themeColor="accent1"/>
        </w:rPr>
        <w:t xml:space="preserve">pour autant </w:t>
      </w:r>
      <w:r>
        <w:rPr>
          <w:color w:val="4F81BD" w:themeColor="accent1"/>
        </w:rPr>
        <w:t xml:space="preserve">être </w:t>
      </w:r>
      <w:r w:rsidR="0091713B">
        <w:rPr>
          <w:color w:val="4F81BD" w:themeColor="accent1"/>
        </w:rPr>
        <w:t xml:space="preserve">exclue. </w:t>
      </w:r>
      <w:r w:rsidR="00F20F7A">
        <w:rPr>
          <w:color w:val="4F81BD" w:themeColor="accent1"/>
        </w:rPr>
        <w:t xml:space="preserve">En effet, </w:t>
      </w:r>
      <w:r w:rsidR="00B17758">
        <w:rPr>
          <w:color w:val="4F81BD" w:themeColor="accent1"/>
        </w:rPr>
        <w:t xml:space="preserve">les droits sociaux </w:t>
      </w:r>
      <w:r w:rsidR="00E22044">
        <w:rPr>
          <w:color w:val="4F81BD" w:themeColor="accent1"/>
        </w:rPr>
        <w:t>compris</w:t>
      </w:r>
      <w:r w:rsidR="00882705">
        <w:rPr>
          <w:color w:val="4F81BD" w:themeColor="accent1"/>
        </w:rPr>
        <w:t xml:space="preserve"> dans le champ du texte </w:t>
      </w:r>
      <w:r w:rsidR="00927DDE">
        <w:rPr>
          <w:color w:val="4F81BD" w:themeColor="accent1"/>
        </w:rPr>
        <w:t xml:space="preserve">se sont </w:t>
      </w:r>
      <w:r w:rsidR="00ED476A">
        <w:rPr>
          <w:color w:val="4F81BD" w:themeColor="accent1"/>
        </w:rPr>
        <w:t xml:space="preserve">notamment </w:t>
      </w:r>
      <w:r w:rsidR="00927DDE">
        <w:rPr>
          <w:color w:val="4F81BD" w:themeColor="accent1"/>
        </w:rPr>
        <w:t xml:space="preserve">vus appliqués </w:t>
      </w:r>
      <w:r w:rsidR="00653A25">
        <w:rPr>
          <w:color w:val="4F81BD" w:themeColor="accent1"/>
        </w:rPr>
        <w:t xml:space="preserve">le droit à un procès équitable. </w:t>
      </w:r>
    </w:p>
    <w:p w14:paraId="211F1934" w14:textId="77777777" w:rsidR="00F34412" w:rsidRDefault="00F34412" w:rsidP="0065212E">
      <w:pPr>
        <w:jc w:val="both"/>
      </w:pPr>
    </w:p>
    <w:p w14:paraId="235BFD55" w14:textId="5E70039C" w:rsidR="00DD282E" w:rsidRDefault="007A1923" w:rsidP="0065212E">
      <w:pPr>
        <w:jc w:val="both"/>
      </w:pPr>
      <w:r>
        <w:t>I</w:t>
      </w:r>
      <w:r w:rsidR="00DD282E">
        <w:t xml:space="preserve">/ Présentation du contentieux de la </w:t>
      </w:r>
      <w:r w:rsidR="001F2E84">
        <w:t>Sécurité sociale</w:t>
      </w:r>
      <w:r w:rsidR="00DD282E">
        <w:t xml:space="preserve">. </w:t>
      </w:r>
    </w:p>
    <w:p w14:paraId="7B465476" w14:textId="538356FE" w:rsidR="00611241" w:rsidRDefault="00611241" w:rsidP="0065212E">
      <w:pPr>
        <w:jc w:val="both"/>
        <w:rPr>
          <w:color w:val="4F81BD" w:themeColor="accent1"/>
        </w:rPr>
      </w:pPr>
      <w:r>
        <w:rPr>
          <w:color w:val="4F81BD" w:themeColor="accent1"/>
        </w:rPr>
        <w:t xml:space="preserve">Le contentieux de la </w:t>
      </w:r>
      <w:r w:rsidR="001F2E84">
        <w:rPr>
          <w:color w:val="4F81BD" w:themeColor="accent1"/>
        </w:rPr>
        <w:t>Sécurité sociale</w:t>
      </w:r>
      <w:r>
        <w:rPr>
          <w:color w:val="4F81BD" w:themeColor="accent1"/>
        </w:rPr>
        <w:t xml:space="preserve"> </w:t>
      </w:r>
      <w:r w:rsidR="003C4FA4">
        <w:rPr>
          <w:color w:val="4F81BD" w:themeColor="accent1"/>
        </w:rPr>
        <w:t xml:space="preserve">regroupe </w:t>
      </w:r>
      <w:r>
        <w:rPr>
          <w:color w:val="4F81BD" w:themeColor="accent1"/>
        </w:rPr>
        <w:t xml:space="preserve">le contentieux opposant les assurés sociaux aux caisses de </w:t>
      </w:r>
      <w:r w:rsidR="001F2E84">
        <w:rPr>
          <w:color w:val="4F81BD" w:themeColor="accent1"/>
        </w:rPr>
        <w:t>Sécurité sociale</w:t>
      </w:r>
      <w:r w:rsidR="003C4FA4">
        <w:rPr>
          <w:color w:val="4F81BD" w:themeColor="accent1"/>
        </w:rPr>
        <w:t xml:space="preserve"> et celui opposant les cotisants aux unions de recouvrements. </w:t>
      </w:r>
    </w:p>
    <w:p w14:paraId="4F2069F9" w14:textId="77777777" w:rsidR="00455E4C" w:rsidRDefault="00455E4C" w:rsidP="0065212E">
      <w:pPr>
        <w:jc w:val="both"/>
        <w:rPr>
          <w:color w:val="4F81BD" w:themeColor="accent1"/>
        </w:rPr>
      </w:pPr>
    </w:p>
    <w:p w14:paraId="5ED9A5FF" w14:textId="40BA31BF" w:rsidR="00996D2B" w:rsidRDefault="00400887" w:rsidP="0065212E">
      <w:pPr>
        <w:jc w:val="both"/>
        <w:rPr>
          <w:color w:val="4F81BD" w:themeColor="accent1"/>
        </w:rPr>
      </w:pPr>
      <w:r>
        <w:rPr>
          <w:color w:val="4F81BD" w:themeColor="accent1"/>
        </w:rPr>
        <w:t xml:space="preserve">Lors de l’institution d’un régime général de </w:t>
      </w:r>
      <w:r w:rsidR="001F2E84">
        <w:rPr>
          <w:color w:val="4F81BD" w:themeColor="accent1"/>
        </w:rPr>
        <w:t>Sécurité sociale</w:t>
      </w:r>
      <w:r>
        <w:rPr>
          <w:color w:val="4F81BD" w:themeColor="accent1"/>
        </w:rPr>
        <w:t xml:space="preserve"> en 1945, la complexité et la spécificité de la matière ont conduit le législateur à créer</w:t>
      </w:r>
      <w:r w:rsidR="00367928">
        <w:rPr>
          <w:color w:val="4F81BD" w:themeColor="accent1"/>
        </w:rPr>
        <w:t xml:space="preserve"> des juridictions spécialisées : un contentieux dit général et un contentieux dit technique. </w:t>
      </w:r>
    </w:p>
    <w:p w14:paraId="66B7A8D3" w14:textId="77777777" w:rsidR="00367928" w:rsidRDefault="00367928" w:rsidP="0065212E">
      <w:pPr>
        <w:jc w:val="both"/>
        <w:rPr>
          <w:color w:val="4F81BD" w:themeColor="accent1"/>
        </w:rPr>
      </w:pPr>
    </w:p>
    <w:p w14:paraId="298E5A76" w14:textId="77654DA5" w:rsidR="00455E4C" w:rsidRDefault="00B75337" w:rsidP="0065212E">
      <w:pPr>
        <w:jc w:val="both"/>
        <w:rPr>
          <w:color w:val="4F81BD" w:themeColor="accent1"/>
        </w:rPr>
      </w:pPr>
      <w:r>
        <w:rPr>
          <w:color w:val="4F81BD" w:themeColor="accent1"/>
        </w:rPr>
        <w:t xml:space="preserve">Il peut se trouver un contentieux relatif à la </w:t>
      </w:r>
      <w:r w:rsidR="001F2E84">
        <w:rPr>
          <w:color w:val="4F81BD" w:themeColor="accent1"/>
        </w:rPr>
        <w:t>Sécurité sociale</w:t>
      </w:r>
      <w:r w:rsidR="00EE4617">
        <w:rPr>
          <w:color w:val="4F81BD" w:themeColor="accent1"/>
        </w:rPr>
        <w:t xml:space="preserve"> en dehors de ces deux branches du contentieux, </w:t>
      </w:r>
      <w:r w:rsidR="001D41A9">
        <w:rPr>
          <w:color w:val="4F81BD" w:themeColor="accent1"/>
        </w:rPr>
        <w:t>notamment face à une juridiction prud’</w:t>
      </w:r>
      <w:r w:rsidR="00F257EB">
        <w:rPr>
          <w:color w:val="4F81BD" w:themeColor="accent1"/>
        </w:rPr>
        <w:t>homale, lorsqu’existe par exemple</w:t>
      </w:r>
      <w:r w:rsidR="00050975">
        <w:rPr>
          <w:color w:val="4F81BD" w:themeColor="accent1"/>
        </w:rPr>
        <w:t xml:space="preserve"> un litige entre une caisse de </w:t>
      </w:r>
      <w:r w:rsidR="001F2E84">
        <w:rPr>
          <w:color w:val="4F81BD" w:themeColor="accent1"/>
        </w:rPr>
        <w:t>Sécurité sociale</w:t>
      </w:r>
      <w:r w:rsidR="00967060">
        <w:rPr>
          <w:color w:val="4F81BD" w:themeColor="accent1"/>
        </w:rPr>
        <w:t xml:space="preserve"> et un de ses employés. </w:t>
      </w:r>
      <w:r w:rsidR="00BA4B64">
        <w:rPr>
          <w:color w:val="4F81BD" w:themeColor="accent1"/>
        </w:rPr>
        <w:t>Ce contentieux « de droit commun » ne sera</w:t>
      </w:r>
      <w:r w:rsidR="00C4111A">
        <w:rPr>
          <w:color w:val="4F81BD" w:themeColor="accent1"/>
        </w:rPr>
        <w:t xml:space="preserve"> pas inclus dans le champ d’étude</w:t>
      </w:r>
      <w:r w:rsidR="003A3051">
        <w:rPr>
          <w:color w:val="4F81BD" w:themeColor="accent1"/>
        </w:rPr>
        <w:t xml:space="preserve"> parce qu’il ne pose aucune</w:t>
      </w:r>
      <w:r w:rsidR="00323DC5">
        <w:rPr>
          <w:color w:val="4F81BD" w:themeColor="accent1"/>
        </w:rPr>
        <w:t xml:space="preserve"> difficulté au regard de </w:t>
      </w:r>
      <w:r w:rsidR="00117116">
        <w:rPr>
          <w:color w:val="4F81BD" w:themeColor="accent1"/>
        </w:rPr>
        <w:t>l</w:t>
      </w:r>
      <w:r w:rsidR="00323DC5">
        <w:rPr>
          <w:color w:val="4F81BD" w:themeColor="accent1"/>
        </w:rPr>
        <w:t>‘application</w:t>
      </w:r>
      <w:r w:rsidR="00117116">
        <w:rPr>
          <w:color w:val="4F81BD" w:themeColor="accent1"/>
        </w:rPr>
        <w:t xml:space="preserve"> de l’article 6 §1 de la </w:t>
      </w:r>
      <w:r w:rsidR="001F2E84">
        <w:rPr>
          <w:color w:val="4F81BD" w:themeColor="accent1"/>
        </w:rPr>
        <w:t>Convention européenne de sauvegarde des droits de l’Homme</w:t>
      </w:r>
      <w:r w:rsidR="00117116">
        <w:rPr>
          <w:color w:val="4F81BD" w:themeColor="accent1"/>
        </w:rPr>
        <w:t xml:space="preserve">. </w:t>
      </w:r>
    </w:p>
    <w:p w14:paraId="7FAB3B06" w14:textId="77777777" w:rsidR="00A36445" w:rsidRDefault="00A36445" w:rsidP="0065212E">
      <w:pPr>
        <w:jc w:val="both"/>
        <w:rPr>
          <w:color w:val="4F81BD" w:themeColor="accent1"/>
        </w:rPr>
      </w:pPr>
    </w:p>
    <w:p w14:paraId="3D5FD11F" w14:textId="6338D0DC" w:rsidR="00AE15F8" w:rsidRPr="00AE15F8" w:rsidRDefault="00AE15F8" w:rsidP="0065212E">
      <w:pPr>
        <w:jc w:val="both"/>
      </w:pPr>
      <w:r>
        <w:t xml:space="preserve">A/ Contentieux général. </w:t>
      </w:r>
    </w:p>
    <w:p w14:paraId="098D5090" w14:textId="062C2E32" w:rsidR="0065238A" w:rsidRDefault="00F81440" w:rsidP="0065212E">
      <w:pPr>
        <w:jc w:val="both"/>
        <w:rPr>
          <w:color w:val="4F81BD" w:themeColor="accent1"/>
        </w:rPr>
      </w:pPr>
      <w:r>
        <w:rPr>
          <w:color w:val="4F81BD" w:themeColor="accent1"/>
        </w:rPr>
        <w:t xml:space="preserve">Les articles L142-1 et L142-2 du </w:t>
      </w:r>
      <w:r w:rsidR="001F2E84">
        <w:rPr>
          <w:color w:val="4F81BD" w:themeColor="accent1"/>
        </w:rPr>
        <w:t>Code de la Sécurité sociale</w:t>
      </w:r>
      <w:r>
        <w:rPr>
          <w:color w:val="4F81BD" w:themeColor="accent1"/>
        </w:rPr>
        <w:t xml:space="preserve"> </w:t>
      </w:r>
      <w:r w:rsidR="001F2C88">
        <w:rPr>
          <w:color w:val="4F81BD" w:themeColor="accent1"/>
        </w:rPr>
        <w:t xml:space="preserve">régissent l’organisation </w:t>
      </w:r>
      <w:r w:rsidR="00A04717">
        <w:rPr>
          <w:color w:val="4F81BD" w:themeColor="accent1"/>
        </w:rPr>
        <w:t xml:space="preserve">et la compétence des tribunaux relatifs au </w:t>
      </w:r>
      <w:r>
        <w:rPr>
          <w:color w:val="4F81BD" w:themeColor="accent1"/>
        </w:rPr>
        <w:t xml:space="preserve">contentieux </w:t>
      </w:r>
      <w:r w:rsidR="001F2C88">
        <w:rPr>
          <w:color w:val="4F81BD" w:themeColor="accent1"/>
        </w:rPr>
        <w:t xml:space="preserve">général </w:t>
      </w:r>
      <w:r>
        <w:rPr>
          <w:color w:val="4F81BD" w:themeColor="accent1"/>
        </w:rPr>
        <w:t xml:space="preserve">de la </w:t>
      </w:r>
      <w:r w:rsidR="001F2E84">
        <w:rPr>
          <w:color w:val="4F81BD" w:themeColor="accent1"/>
        </w:rPr>
        <w:t>Sécurité sociale</w:t>
      </w:r>
      <w:r w:rsidR="001F2C88">
        <w:rPr>
          <w:color w:val="4F81BD" w:themeColor="accent1"/>
        </w:rPr>
        <w:t xml:space="preserve">. </w:t>
      </w:r>
    </w:p>
    <w:p w14:paraId="13013CFA" w14:textId="77777777" w:rsidR="0065238A" w:rsidRDefault="0065238A" w:rsidP="0065212E">
      <w:pPr>
        <w:jc w:val="both"/>
        <w:rPr>
          <w:color w:val="4F81BD" w:themeColor="accent1"/>
        </w:rPr>
      </w:pPr>
    </w:p>
    <w:p w14:paraId="6704603F" w14:textId="0D586401" w:rsidR="00A36445" w:rsidRDefault="00B66DD5" w:rsidP="0065212E">
      <w:pPr>
        <w:jc w:val="both"/>
        <w:rPr>
          <w:color w:val="4F81BD" w:themeColor="accent1"/>
        </w:rPr>
      </w:pPr>
      <w:r>
        <w:rPr>
          <w:color w:val="4F81BD" w:themeColor="accent1"/>
        </w:rPr>
        <w:t>Ils sont ainsi formulés :</w:t>
      </w:r>
    </w:p>
    <w:p w14:paraId="102FDE9B" w14:textId="39B7CCA1" w:rsidR="00B66DD5" w:rsidRDefault="00B66DD5" w:rsidP="0065212E">
      <w:pPr>
        <w:jc w:val="both"/>
        <w:rPr>
          <w:color w:val="4F81BD" w:themeColor="accent1"/>
        </w:rPr>
      </w:pPr>
      <w:r>
        <w:rPr>
          <w:color w:val="4F81BD" w:themeColor="accent1"/>
        </w:rPr>
        <w:t xml:space="preserve">L’article L142-1 du </w:t>
      </w:r>
      <w:r w:rsidR="001F2E84">
        <w:rPr>
          <w:color w:val="4F81BD" w:themeColor="accent1"/>
        </w:rPr>
        <w:t>Code de la Sécurité sociale</w:t>
      </w:r>
      <w:r>
        <w:rPr>
          <w:color w:val="4F81BD" w:themeColor="accent1"/>
        </w:rPr>
        <w:t xml:space="preserve"> dispose qu</w:t>
      </w:r>
      <w:r w:rsidR="00850DB1">
        <w:rPr>
          <w:color w:val="4F81BD" w:themeColor="accent1"/>
        </w:rPr>
        <w:t>’</w:t>
      </w:r>
      <w:r w:rsidR="00A716D4">
        <w:rPr>
          <w:color w:val="4F81BD" w:themeColor="accent1"/>
        </w:rPr>
        <w:t xml:space="preserve"> « </w:t>
      </w:r>
      <w:r w:rsidRPr="00DF1098">
        <w:rPr>
          <w:i/>
          <w:color w:val="4F81BD" w:themeColor="accent1"/>
        </w:rPr>
        <w:t>Il est i</w:t>
      </w:r>
      <w:r>
        <w:rPr>
          <w:i/>
          <w:color w:val="4F81BD" w:themeColor="accent1"/>
        </w:rPr>
        <w:t xml:space="preserve">nstitué une organisation du contentieux général de la Sécurité sociale. </w:t>
      </w:r>
      <w:r w:rsidR="00782F4F">
        <w:rPr>
          <w:i/>
          <w:color w:val="4F81BD" w:themeColor="accent1"/>
        </w:rPr>
        <w:t xml:space="preserve">// </w:t>
      </w:r>
      <w:r>
        <w:rPr>
          <w:i/>
          <w:color w:val="4F81BD" w:themeColor="accent1"/>
        </w:rPr>
        <w:t xml:space="preserve">Cette organisation règle les différends auxquels donnent lieu l’application des législations et réglementations de Sécurité sociale et de mutualité sociale agricole, et </w:t>
      </w:r>
      <w:r w:rsidRPr="00C27E4E">
        <w:rPr>
          <w:i/>
          <w:color w:val="4F81BD" w:themeColor="accent1"/>
        </w:rPr>
        <w:t>qui ne relèvent pas, par leur nature, d’un autre contentieux</w:t>
      </w:r>
      <w:r>
        <w:rPr>
          <w:i/>
          <w:color w:val="4F81BD" w:themeColor="accent1"/>
        </w:rPr>
        <w:t xml:space="preserve"> </w:t>
      </w:r>
      <w:r w:rsidRPr="00DF1098">
        <w:rPr>
          <w:color w:val="4F81BD" w:themeColor="accent1"/>
        </w:rPr>
        <w:t>(…)</w:t>
      </w:r>
      <w:r w:rsidR="00A716D4">
        <w:rPr>
          <w:color w:val="4F81BD" w:themeColor="accent1"/>
        </w:rPr>
        <w:t> »</w:t>
      </w:r>
      <w:r w:rsidRPr="00DF1098">
        <w:rPr>
          <w:color w:val="4F81BD" w:themeColor="accent1"/>
        </w:rPr>
        <w:t xml:space="preserve">. </w:t>
      </w:r>
    </w:p>
    <w:p w14:paraId="70AFCEE6" w14:textId="6B138CA1" w:rsidR="008E65EB" w:rsidRPr="008E65EB" w:rsidRDefault="008E65EB" w:rsidP="0065212E">
      <w:pPr>
        <w:jc w:val="both"/>
        <w:rPr>
          <w:color w:val="4F81BD" w:themeColor="accent1"/>
        </w:rPr>
      </w:pPr>
      <w:r>
        <w:rPr>
          <w:color w:val="4F81BD" w:themeColor="accent1"/>
        </w:rPr>
        <w:t xml:space="preserve">Le contentieux de la </w:t>
      </w:r>
      <w:r w:rsidR="001F2E84">
        <w:rPr>
          <w:color w:val="4F81BD" w:themeColor="accent1"/>
        </w:rPr>
        <w:t>Sécurité sociale</w:t>
      </w:r>
      <w:r>
        <w:rPr>
          <w:color w:val="4F81BD" w:themeColor="accent1"/>
        </w:rPr>
        <w:t xml:space="preserve"> ne revient dès lors à une juridiction du contentieux général que tant qu’il ne revient pas, en vertu d’une compétence attribuée, à une juridiction d’une autre branche du contentieux de la </w:t>
      </w:r>
      <w:r w:rsidR="001F2E84">
        <w:rPr>
          <w:color w:val="4F81BD" w:themeColor="accent1"/>
        </w:rPr>
        <w:t>Sécurité sociale</w:t>
      </w:r>
      <w:r>
        <w:rPr>
          <w:color w:val="4F81BD" w:themeColor="accent1"/>
        </w:rPr>
        <w:t xml:space="preserve">. </w:t>
      </w:r>
    </w:p>
    <w:p w14:paraId="177BA399" w14:textId="77777777" w:rsidR="00B66DD5" w:rsidRDefault="00B66DD5" w:rsidP="0065212E">
      <w:pPr>
        <w:jc w:val="both"/>
        <w:rPr>
          <w:color w:val="4F81BD" w:themeColor="accent1"/>
        </w:rPr>
      </w:pPr>
    </w:p>
    <w:p w14:paraId="71E88184" w14:textId="2B72A77B" w:rsidR="00B83F69" w:rsidRDefault="001D1549" w:rsidP="0065212E">
      <w:pPr>
        <w:jc w:val="both"/>
        <w:rPr>
          <w:color w:val="4F81BD" w:themeColor="accent1"/>
        </w:rPr>
      </w:pPr>
      <w:r>
        <w:rPr>
          <w:color w:val="4F81BD" w:themeColor="accent1"/>
        </w:rPr>
        <w:t xml:space="preserve">L’article L142-2 du </w:t>
      </w:r>
      <w:r w:rsidR="001F2E84">
        <w:rPr>
          <w:color w:val="4F81BD" w:themeColor="accent1"/>
        </w:rPr>
        <w:t>Code de la Sécurité sociale</w:t>
      </w:r>
      <w:r w:rsidR="000A7AE0">
        <w:rPr>
          <w:color w:val="4F81BD" w:themeColor="accent1"/>
        </w:rPr>
        <w:t>, quant à lui,</w:t>
      </w:r>
      <w:r w:rsidR="00E40566">
        <w:rPr>
          <w:color w:val="4F81BD" w:themeColor="accent1"/>
        </w:rPr>
        <w:t xml:space="preserve"> </w:t>
      </w:r>
      <w:r w:rsidR="00B66DD5">
        <w:rPr>
          <w:color w:val="4F81BD" w:themeColor="accent1"/>
        </w:rPr>
        <w:t xml:space="preserve">dispose que </w:t>
      </w:r>
      <w:r w:rsidR="00A716D4">
        <w:rPr>
          <w:color w:val="4F81BD" w:themeColor="accent1"/>
        </w:rPr>
        <w:t>« </w:t>
      </w:r>
      <w:r w:rsidR="004A497F">
        <w:rPr>
          <w:i/>
          <w:color w:val="4F81BD" w:themeColor="accent1"/>
        </w:rPr>
        <w:t>Le Tribunal des affaires de Sécurité sociale connaît en première instance des litiges</w:t>
      </w:r>
      <w:r w:rsidR="006F74BB">
        <w:rPr>
          <w:i/>
          <w:color w:val="4F81BD" w:themeColor="accent1"/>
        </w:rPr>
        <w:t xml:space="preserve"> relevant du contentieux général de la S</w:t>
      </w:r>
      <w:r w:rsidR="009B383E">
        <w:rPr>
          <w:i/>
          <w:color w:val="4F81BD" w:themeColor="accent1"/>
        </w:rPr>
        <w:t>écurité sociale</w:t>
      </w:r>
      <w:r w:rsidR="009656D6">
        <w:rPr>
          <w:i/>
          <w:color w:val="4F81BD" w:themeColor="accent1"/>
        </w:rPr>
        <w:t xml:space="preserve"> ainsi que de ceux relatifs au recouvrement des contributions, versements et cotisations mentionnés </w:t>
      </w:r>
      <w:r w:rsidR="009656D6" w:rsidRPr="00A84F0E">
        <w:rPr>
          <w:color w:val="4F81BD" w:themeColor="accent1"/>
        </w:rPr>
        <w:t>[</w:t>
      </w:r>
      <w:r w:rsidR="009656D6" w:rsidRPr="009656D6">
        <w:rPr>
          <w:color w:val="4F81BD" w:themeColor="accent1"/>
        </w:rPr>
        <w:t>à différe</w:t>
      </w:r>
      <w:r w:rsidR="009656D6">
        <w:rPr>
          <w:color w:val="4F81BD" w:themeColor="accent1"/>
        </w:rPr>
        <w:t xml:space="preserve">nts articles du Code du travail]. </w:t>
      </w:r>
      <w:r w:rsidR="00782F4F">
        <w:rPr>
          <w:color w:val="4F81BD" w:themeColor="accent1"/>
        </w:rPr>
        <w:t xml:space="preserve">// </w:t>
      </w:r>
      <w:r w:rsidR="00B83F69" w:rsidRPr="00B83F69">
        <w:rPr>
          <w:i/>
          <w:color w:val="4F81BD" w:themeColor="accent1"/>
        </w:rPr>
        <w:t>La Cour d’</w:t>
      </w:r>
      <w:r w:rsidR="00B83F69">
        <w:rPr>
          <w:i/>
          <w:color w:val="4F81BD" w:themeColor="accent1"/>
        </w:rPr>
        <w:t>appel statue sur les appels interjetés contre les décisions rendues par le Tribunal de</w:t>
      </w:r>
      <w:r w:rsidR="00B75B6D">
        <w:rPr>
          <w:i/>
          <w:color w:val="4F81BD" w:themeColor="accent1"/>
        </w:rPr>
        <w:t>s affaires de Sécurité sociale</w:t>
      </w:r>
      <w:r w:rsidR="00A716D4">
        <w:rPr>
          <w:i/>
          <w:color w:val="4F81BD" w:themeColor="accent1"/>
        </w:rPr>
        <w:t> »</w:t>
      </w:r>
      <w:r w:rsidR="00B75B6D">
        <w:rPr>
          <w:color w:val="4F81BD" w:themeColor="accent1"/>
        </w:rPr>
        <w:t xml:space="preserve">. </w:t>
      </w:r>
    </w:p>
    <w:p w14:paraId="1D76EF38" w14:textId="77777777" w:rsidR="0085310E" w:rsidRDefault="0085310E" w:rsidP="0065212E">
      <w:pPr>
        <w:jc w:val="both"/>
        <w:rPr>
          <w:color w:val="4F81BD" w:themeColor="accent1"/>
        </w:rPr>
      </w:pPr>
    </w:p>
    <w:p w14:paraId="599E6E9F" w14:textId="346877F1" w:rsidR="00DF40F6" w:rsidRDefault="00F236C9" w:rsidP="0065212E">
      <w:pPr>
        <w:jc w:val="both"/>
        <w:rPr>
          <w:color w:val="4F81BD" w:themeColor="accent1"/>
        </w:rPr>
      </w:pPr>
      <w:r w:rsidRPr="00F236C9">
        <w:rPr>
          <w:color w:val="4F81BD" w:themeColor="accent1"/>
        </w:rPr>
        <w:t>Il existe</w:t>
      </w:r>
      <w:r>
        <w:rPr>
          <w:color w:val="4F81BD" w:themeColor="accent1"/>
        </w:rPr>
        <w:t xml:space="preserve"> un préalable obligatoire</w:t>
      </w:r>
      <w:r w:rsidR="00CF49F9">
        <w:rPr>
          <w:color w:val="4F81BD" w:themeColor="accent1"/>
        </w:rPr>
        <w:t xml:space="preserve"> à la saisine du </w:t>
      </w:r>
      <w:r w:rsidR="00A41681">
        <w:rPr>
          <w:color w:val="4F81BD" w:themeColor="accent1"/>
        </w:rPr>
        <w:t>Tribunal des affaires de la Sécurité sociale</w:t>
      </w:r>
      <w:r w:rsidR="00BA6C26">
        <w:rPr>
          <w:color w:val="4F81BD" w:themeColor="accent1"/>
        </w:rPr>
        <w:t xml:space="preserve"> : toutes les réclamations doivent d’abord être soumises à une Commission de recours amiable. </w:t>
      </w:r>
      <w:r w:rsidR="00F8357F">
        <w:rPr>
          <w:color w:val="4F81BD" w:themeColor="accent1"/>
        </w:rPr>
        <w:t>Les décisions qu’elle rend</w:t>
      </w:r>
      <w:r w:rsidR="00F83F9B">
        <w:rPr>
          <w:color w:val="4F81BD" w:themeColor="accent1"/>
        </w:rPr>
        <w:t xml:space="preserve"> ont valeur de décisions administratives</w:t>
      </w:r>
      <w:r w:rsidR="00FF68ED">
        <w:rPr>
          <w:color w:val="4F81BD" w:themeColor="accent1"/>
        </w:rPr>
        <w:t xml:space="preserve"> et </w:t>
      </w:r>
      <w:r w:rsidR="003D500C">
        <w:rPr>
          <w:color w:val="4F81BD" w:themeColor="accent1"/>
        </w:rPr>
        <w:t>l’organisation</w:t>
      </w:r>
      <w:r w:rsidR="006028B1">
        <w:rPr>
          <w:color w:val="4F81BD" w:themeColor="accent1"/>
        </w:rPr>
        <w:t xml:space="preserve"> de la commission, puisqu’elle n’est pas considérée comme une juridiction, n’est pas soumise</w:t>
      </w:r>
      <w:r w:rsidR="00CA135A">
        <w:rPr>
          <w:color w:val="4F81BD" w:themeColor="accent1"/>
        </w:rPr>
        <w:t xml:space="preserve"> au respect de l’article 6 §1 de la </w:t>
      </w:r>
      <w:r w:rsidR="001F2E84">
        <w:rPr>
          <w:color w:val="4F81BD" w:themeColor="accent1"/>
        </w:rPr>
        <w:t>Convention européenne de sauvegarde des droits de l’Homme</w:t>
      </w:r>
      <w:r w:rsidR="00CA135A">
        <w:rPr>
          <w:color w:val="4F81BD" w:themeColor="accent1"/>
        </w:rPr>
        <w:t xml:space="preserve">. </w:t>
      </w:r>
    </w:p>
    <w:p w14:paraId="6A08FB06" w14:textId="77777777" w:rsidR="003B2E06" w:rsidRDefault="003B2E06" w:rsidP="0065212E">
      <w:pPr>
        <w:jc w:val="both"/>
        <w:rPr>
          <w:color w:val="4F81BD" w:themeColor="accent1"/>
        </w:rPr>
      </w:pPr>
    </w:p>
    <w:p w14:paraId="5879A9F0" w14:textId="4FC07461" w:rsidR="004A6992" w:rsidRDefault="004A6992" w:rsidP="0065212E">
      <w:pPr>
        <w:jc w:val="both"/>
        <w:rPr>
          <w:color w:val="4F81BD" w:themeColor="accent1"/>
        </w:rPr>
      </w:pPr>
      <w:r>
        <w:rPr>
          <w:color w:val="4F81BD" w:themeColor="accent1"/>
        </w:rPr>
        <w:t xml:space="preserve">Le </w:t>
      </w:r>
      <w:r w:rsidR="00A41681">
        <w:rPr>
          <w:color w:val="4F81BD" w:themeColor="accent1"/>
        </w:rPr>
        <w:t>Tribunal des affaires de la Sécurité sociale</w:t>
      </w:r>
      <w:r w:rsidR="0085310E">
        <w:rPr>
          <w:color w:val="4F81BD" w:themeColor="accent1"/>
        </w:rPr>
        <w:t xml:space="preserve"> est basé sur le modèle de l’échevinage. Il est présidé par un magistrat professionnel</w:t>
      </w:r>
      <w:r w:rsidR="00A77753">
        <w:rPr>
          <w:color w:val="4F81BD" w:themeColor="accent1"/>
        </w:rPr>
        <w:t>, flanqué</w:t>
      </w:r>
      <w:r w:rsidR="00DE2654">
        <w:rPr>
          <w:color w:val="4F81BD" w:themeColor="accent1"/>
        </w:rPr>
        <w:t xml:space="preserve"> d’</w:t>
      </w:r>
      <w:r w:rsidR="00767C67">
        <w:rPr>
          <w:color w:val="4F81BD" w:themeColor="accent1"/>
        </w:rPr>
        <w:t>assesseurs représentant</w:t>
      </w:r>
      <w:r w:rsidR="0076241B">
        <w:rPr>
          <w:color w:val="4F81BD" w:themeColor="accent1"/>
        </w:rPr>
        <w:t xml:space="preserve"> les </w:t>
      </w:r>
      <w:r w:rsidR="0033180B">
        <w:rPr>
          <w:color w:val="4F81BD" w:themeColor="accent1"/>
        </w:rPr>
        <w:t xml:space="preserve">salariés, les employeurs et les indépendants. </w:t>
      </w:r>
    </w:p>
    <w:p w14:paraId="5E4F48CD" w14:textId="35AA4E0F" w:rsidR="008B0B6C" w:rsidRDefault="00804438" w:rsidP="0065212E">
      <w:pPr>
        <w:jc w:val="both"/>
        <w:rPr>
          <w:color w:val="4F81BD" w:themeColor="accent1"/>
        </w:rPr>
      </w:pPr>
      <w:r>
        <w:rPr>
          <w:color w:val="4F81BD" w:themeColor="accent1"/>
        </w:rPr>
        <w:lastRenderedPageBreak/>
        <w:t>L’oralité y est de mise</w:t>
      </w:r>
      <w:r w:rsidR="00094F25">
        <w:rPr>
          <w:color w:val="4F81BD" w:themeColor="accent1"/>
        </w:rPr>
        <w:t>, la représentation</w:t>
      </w:r>
      <w:r>
        <w:rPr>
          <w:color w:val="4F81BD" w:themeColor="accent1"/>
        </w:rPr>
        <w:t xml:space="preserve"> n’y est pas obligatoire et le ministère public n’y est pas représenté. </w:t>
      </w:r>
    </w:p>
    <w:p w14:paraId="16846895" w14:textId="77777777" w:rsidR="0070697C" w:rsidRDefault="0070697C" w:rsidP="0065212E">
      <w:pPr>
        <w:jc w:val="both"/>
        <w:rPr>
          <w:color w:val="4F81BD" w:themeColor="accent1"/>
        </w:rPr>
      </w:pPr>
    </w:p>
    <w:p w14:paraId="70ACCA0F" w14:textId="44571D3B" w:rsidR="0070697C" w:rsidRPr="00F236C9" w:rsidRDefault="0070697C" w:rsidP="0065212E">
      <w:pPr>
        <w:jc w:val="both"/>
        <w:rPr>
          <w:color w:val="4F81BD" w:themeColor="accent1"/>
        </w:rPr>
      </w:pPr>
      <w:r>
        <w:rPr>
          <w:color w:val="4F81BD" w:themeColor="accent1"/>
        </w:rPr>
        <w:t xml:space="preserve">Dans la majorité des cas, </w:t>
      </w:r>
      <w:r w:rsidR="00521E9E">
        <w:rPr>
          <w:color w:val="4F81BD" w:themeColor="accent1"/>
        </w:rPr>
        <w:t>lorsque le contentieux ne revient pas « par défaut »</w:t>
      </w:r>
      <w:r w:rsidR="00111591">
        <w:rPr>
          <w:color w:val="4F81BD" w:themeColor="accent1"/>
        </w:rPr>
        <w:t xml:space="preserve"> aux </w:t>
      </w:r>
      <w:r w:rsidR="00A41681">
        <w:rPr>
          <w:color w:val="4F81BD" w:themeColor="accent1"/>
        </w:rPr>
        <w:t>Tribunal des affaires de la Sécurité sociale</w:t>
      </w:r>
      <w:r w:rsidR="00111591">
        <w:rPr>
          <w:color w:val="4F81BD" w:themeColor="accent1"/>
        </w:rPr>
        <w:t xml:space="preserve">, il revient au contentieux technique de la </w:t>
      </w:r>
      <w:r w:rsidR="001F2E84">
        <w:rPr>
          <w:color w:val="4F81BD" w:themeColor="accent1"/>
        </w:rPr>
        <w:t>Sécurité sociale</w:t>
      </w:r>
      <w:r w:rsidR="00111591">
        <w:rPr>
          <w:color w:val="4F81BD" w:themeColor="accent1"/>
        </w:rPr>
        <w:t xml:space="preserve">. </w:t>
      </w:r>
    </w:p>
    <w:p w14:paraId="291DD039" w14:textId="77777777" w:rsidR="00B66DD5" w:rsidRDefault="00B66DD5" w:rsidP="0065212E">
      <w:pPr>
        <w:jc w:val="both"/>
        <w:rPr>
          <w:color w:val="4F81BD" w:themeColor="accent1"/>
        </w:rPr>
      </w:pPr>
    </w:p>
    <w:p w14:paraId="0B02E732" w14:textId="39047216" w:rsidR="00555E55" w:rsidRDefault="00555E55" w:rsidP="0065212E">
      <w:pPr>
        <w:jc w:val="both"/>
      </w:pPr>
      <w:r>
        <w:t xml:space="preserve">B/ Contentieux </w:t>
      </w:r>
      <w:r w:rsidRPr="00555E55">
        <w:t>technique</w:t>
      </w:r>
      <w:r>
        <w:t xml:space="preserve">. </w:t>
      </w:r>
    </w:p>
    <w:p w14:paraId="74D56877" w14:textId="75DA2936" w:rsidR="005E7705" w:rsidRDefault="003437E6" w:rsidP="0065212E">
      <w:pPr>
        <w:jc w:val="both"/>
        <w:rPr>
          <w:color w:val="4F81BD" w:themeColor="accent1"/>
        </w:rPr>
      </w:pPr>
      <w:r>
        <w:rPr>
          <w:color w:val="4F81BD" w:themeColor="accent1"/>
        </w:rPr>
        <w:t>Le contentieux technique</w:t>
      </w:r>
      <w:r w:rsidR="008671DF">
        <w:rPr>
          <w:color w:val="4F81BD" w:themeColor="accent1"/>
        </w:rPr>
        <w:t xml:space="preserve"> est </w:t>
      </w:r>
      <w:r w:rsidR="008E6D6A">
        <w:rPr>
          <w:color w:val="4F81BD" w:themeColor="accent1"/>
        </w:rPr>
        <w:t xml:space="preserve">notamment </w:t>
      </w:r>
      <w:r w:rsidR="008671DF">
        <w:rPr>
          <w:color w:val="4F81BD" w:themeColor="accent1"/>
        </w:rPr>
        <w:t xml:space="preserve">régi par les articles L143-1, L143-2 et L143-3 du </w:t>
      </w:r>
      <w:r w:rsidR="001F2E84">
        <w:rPr>
          <w:color w:val="4F81BD" w:themeColor="accent1"/>
        </w:rPr>
        <w:t>Code de la Sécurité sociale</w:t>
      </w:r>
      <w:r w:rsidR="008671DF">
        <w:rPr>
          <w:color w:val="4F81BD" w:themeColor="accent1"/>
        </w:rPr>
        <w:t xml:space="preserve">. </w:t>
      </w:r>
    </w:p>
    <w:p w14:paraId="1282A284" w14:textId="77777777" w:rsidR="00822CD5" w:rsidRDefault="00822CD5" w:rsidP="0065212E">
      <w:pPr>
        <w:jc w:val="both"/>
      </w:pPr>
    </w:p>
    <w:p w14:paraId="1F725297" w14:textId="4039B3C8" w:rsidR="006C5683" w:rsidRDefault="00822CD5" w:rsidP="0065212E">
      <w:pPr>
        <w:jc w:val="both"/>
        <w:rPr>
          <w:color w:val="4F81BD" w:themeColor="accent1"/>
        </w:rPr>
      </w:pPr>
      <w:r w:rsidRPr="00822CD5">
        <w:rPr>
          <w:color w:val="4F81BD" w:themeColor="accent1"/>
        </w:rPr>
        <w:t>L’article L143-1</w:t>
      </w:r>
      <w:r>
        <w:rPr>
          <w:color w:val="4F81BD" w:themeColor="accent1"/>
        </w:rPr>
        <w:t xml:space="preserve"> du </w:t>
      </w:r>
      <w:r w:rsidR="001F2E84">
        <w:rPr>
          <w:color w:val="4F81BD" w:themeColor="accent1"/>
        </w:rPr>
        <w:t>Code de la Sécurité sociale</w:t>
      </w:r>
      <w:r w:rsidR="00DF5A1B">
        <w:rPr>
          <w:color w:val="4F81BD" w:themeColor="accent1"/>
        </w:rPr>
        <w:t xml:space="preserve"> délimite les cas où</w:t>
      </w:r>
      <w:r w:rsidR="006841F8">
        <w:rPr>
          <w:color w:val="4F81BD" w:themeColor="accent1"/>
        </w:rPr>
        <w:t xml:space="preserve"> la compétence d’un litige</w:t>
      </w:r>
      <w:r w:rsidR="00290554">
        <w:rPr>
          <w:color w:val="4F81BD" w:themeColor="accent1"/>
        </w:rPr>
        <w:t xml:space="preserve"> passe du contentieux général de </w:t>
      </w:r>
      <w:r w:rsidR="00066C20">
        <w:rPr>
          <w:color w:val="4F81BD" w:themeColor="accent1"/>
        </w:rPr>
        <w:t xml:space="preserve">la </w:t>
      </w:r>
      <w:r w:rsidR="001F2E84">
        <w:rPr>
          <w:color w:val="4F81BD" w:themeColor="accent1"/>
        </w:rPr>
        <w:t>Sécurité sociale</w:t>
      </w:r>
      <w:r w:rsidR="00066C20">
        <w:rPr>
          <w:color w:val="4F81BD" w:themeColor="accent1"/>
        </w:rPr>
        <w:t xml:space="preserve"> au contentieux technique de la </w:t>
      </w:r>
      <w:r w:rsidR="001F2E84">
        <w:rPr>
          <w:color w:val="4F81BD" w:themeColor="accent1"/>
        </w:rPr>
        <w:t>Sécurité sociale</w:t>
      </w:r>
      <w:r w:rsidR="00066C20">
        <w:rPr>
          <w:color w:val="4F81BD" w:themeColor="accent1"/>
        </w:rPr>
        <w:t xml:space="preserve">. </w:t>
      </w:r>
    </w:p>
    <w:p w14:paraId="4609B7B0" w14:textId="630D3C9B" w:rsidR="00526FA8" w:rsidRDefault="005A0AE8" w:rsidP="0065212E">
      <w:pPr>
        <w:jc w:val="both"/>
        <w:rPr>
          <w:color w:val="4F81BD" w:themeColor="accent1"/>
        </w:rPr>
      </w:pPr>
      <w:r w:rsidRPr="00ED43F5">
        <w:rPr>
          <w:color w:val="4F81BD" w:themeColor="accent1"/>
        </w:rPr>
        <w:t>Il est envisageable de diviser le contentieux technique en deux : d’une part, le contentieux de l’incapacité</w:t>
      </w:r>
      <w:r w:rsidR="00AE0873" w:rsidRPr="00ED43F5">
        <w:rPr>
          <w:color w:val="4F81BD" w:themeColor="accent1"/>
        </w:rPr>
        <w:t>, qui traite notamment</w:t>
      </w:r>
      <w:r w:rsidR="009F5460" w:rsidRPr="00ED43F5">
        <w:rPr>
          <w:color w:val="4F81BD" w:themeColor="accent1"/>
        </w:rPr>
        <w:t xml:space="preserve"> du contentieux relatif à l’existence et à la gravité d’une invalidité au sens du droit de la</w:t>
      </w:r>
      <w:r w:rsidR="00BC20A7" w:rsidRPr="00ED43F5">
        <w:rPr>
          <w:color w:val="4F81BD" w:themeColor="accent1"/>
        </w:rPr>
        <w:t xml:space="preserve"> </w:t>
      </w:r>
      <w:r w:rsidR="001F2E84">
        <w:rPr>
          <w:color w:val="4F81BD" w:themeColor="accent1"/>
        </w:rPr>
        <w:t>Sécurité sociale</w:t>
      </w:r>
      <w:r w:rsidR="00BC20A7" w:rsidRPr="00ED43F5">
        <w:rPr>
          <w:color w:val="4F81BD" w:themeColor="accent1"/>
        </w:rPr>
        <w:t> </w:t>
      </w:r>
      <w:r w:rsidR="006C5683" w:rsidRPr="00ED43F5">
        <w:rPr>
          <w:color w:val="4F81BD" w:themeColor="accent1"/>
        </w:rPr>
        <w:t>et</w:t>
      </w:r>
      <w:r w:rsidR="00BC20A7" w:rsidRPr="00ED43F5">
        <w:rPr>
          <w:color w:val="4F81BD" w:themeColor="accent1"/>
        </w:rPr>
        <w:t xml:space="preserve"> d’autre part, </w:t>
      </w:r>
      <w:r w:rsidR="00D967D5" w:rsidRPr="00ED43F5">
        <w:rPr>
          <w:color w:val="4F81BD" w:themeColor="accent1"/>
        </w:rPr>
        <w:t xml:space="preserve">le contentieux de la tarification de l’assurance des accidents du travail. </w:t>
      </w:r>
    </w:p>
    <w:p w14:paraId="27F40E06" w14:textId="77777777" w:rsidR="00CF15C0" w:rsidRDefault="00CF15C0" w:rsidP="0065212E">
      <w:pPr>
        <w:jc w:val="both"/>
        <w:rPr>
          <w:color w:val="4F81BD" w:themeColor="accent1"/>
        </w:rPr>
      </w:pPr>
    </w:p>
    <w:p w14:paraId="58CAB8DF" w14:textId="7B7C01C4" w:rsidR="00CF15C0" w:rsidRDefault="00367BD1" w:rsidP="0065212E">
      <w:pPr>
        <w:jc w:val="both"/>
        <w:rPr>
          <w:color w:val="4F81BD" w:themeColor="accent1"/>
        </w:rPr>
      </w:pPr>
      <w:r>
        <w:rPr>
          <w:color w:val="4F81BD" w:themeColor="accent1"/>
        </w:rPr>
        <w:t>L’article L14</w:t>
      </w:r>
      <w:r w:rsidR="00915919">
        <w:rPr>
          <w:color w:val="4F81BD" w:themeColor="accent1"/>
        </w:rPr>
        <w:t>3-2</w:t>
      </w:r>
      <w:r>
        <w:rPr>
          <w:color w:val="4F81BD" w:themeColor="accent1"/>
        </w:rPr>
        <w:t xml:space="preserve"> du </w:t>
      </w:r>
      <w:r w:rsidR="001F2E84">
        <w:rPr>
          <w:color w:val="4F81BD" w:themeColor="accent1"/>
        </w:rPr>
        <w:t>Code de la Sécurité sociale</w:t>
      </w:r>
      <w:r>
        <w:rPr>
          <w:color w:val="4F81BD" w:themeColor="accent1"/>
        </w:rPr>
        <w:t xml:space="preserve"> dispose que</w:t>
      </w:r>
      <w:r w:rsidR="00A84F0E">
        <w:rPr>
          <w:color w:val="4F81BD" w:themeColor="accent1"/>
        </w:rPr>
        <w:t xml:space="preserve"> </w:t>
      </w:r>
      <w:r w:rsidR="00C02AB3">
        <w:rPr>
          <w:color w:val="4F81BD" w:themeColor="accent1"/>
        </w:rPr>
        <w:t>« </w:t>
      </w:r>
      <w:r w:rsidR="00A84F0E">
        <w:rPr>
          <w:i/>
          <w:color w:val="4F81BD" w:themeColor="accent1"/>
        </w:rPr>
        <w:t xml:space="preserve">Les contestations mentionnées </w:t>
      </w:r>
      <w:r w:rsidR="00AA42B5">
        <w:rPr>
          <w:color w:val="4F81BD" w:themeColor="accent1"/>
        </w:rPr>
        <w:t>[à</w:t>
      </w:r>
      <w:r w:rsidR="00713A8F">
        <w:rPr>
          <w:color w:val="4F81BD" w:themeColor="accent1"/>
        </w:rPr>
        <w:t xml:space="preserve"> quatre des cinq alinéas de</w:t>
      </w:r>
      <w:r w:rsidR="00AA42B5">
        <w:rPr>
          <w:color w:val="4F81BD" w:themeColor="accent1"/>
        </w:rPr>
        <w:t xml:space="preserve"> l’article L143-1 du </w:t>
      </w:r>
      <w:r w:rsidR="001F2E84">
        <w:rPr>
          <w:color w:val="4F81BD" w:themeColor="accent1"/>
        </w:rPr>
        <w:t>Code de la Sécurité sociale</w:t>
      </w:r>
      <w:r w:rsidR="00F70E34">
        <w:rPr>
          <w:color w:val="4F81BD" w:themeColor="accent1"/>
        </w:rPr>
        <w:t>, excluant</w:t>
      </w:r>
      <w:r w:rsidR="008E7719">
        <w:rPr>
          <w:color w:val="4F81BD" w:themeColor="accent1"/>
        </w:rPr>
        <w:t xml:space="preserve"> les contestations relatives</w:t>
      </w:r>
      <w:r w:rsidR="00F23031">
        <w:rPr>
          <w:color w:val="4F81BD" w:themeColor="accent1"/>
        </w:rPr>
        <w:t xml:space="preserve"> </w:t>
      </w:r>
      <w:r w:rsidR="00F23031">
        <w:rPr>
          <w:i/>
          <w:color w:val="4F81BD" w:themeColor="accent1"/>
        </w:rPr>
        <w:t>aux décisions des caisses d’assurance retraite et de la santé au travail et des caisses de mutualité sociale agricole concernant, en matière d’accident du travail agricole et non agricole, la fixation du taux de cotisation, l’octroi de ristournes, l’imposition de cotisations supplémentaires et, pour les accidents régis par le Livre IV du Code de la Sécurité sociale, la détermination de la contribution prévue à l’article L437-1 du présent code</w:t>
      </w:r>
      <w:r w:rsidR="00AA42B5">
        <w:rPr>
          <w:color w:val="4F81BD" w:themeColor="accent1"/>
        </w:rPr>
        <w:t>]</w:t>
      </w:r>
      <w:r w:rsidR="00AA42B5">
        <w:rPr>
          <w:i/>
          <w:color w:val="4F81BD" w:themeColor="accent1"/>
        </w:rPr>
        <w:t xml:space="preserve"> sont soumises à des Tribunaux du contentieux de l’incapacité</w:t>
      </w:r>
      <w:r w:rsidR="00C02AB3">
        <w:rPr>
          <w:i/>
          <w:color w:val="4F81BD" w:themeColor="accent1"/>
        </w:rPr>
        <w:t> »</w:t>
      </w:r>
      <w:r w:rsidR="00AA42B5">
        <w:rPr>
          <w:color w:val="4F81BD" w:themeColor="accent1"/>
        </w:rPr>
        <w:t xml:space="preserve">. </w:t>
      </w:r>
    </w:p>
    <w:p w14:paraId="7033BB3C" w14:textId="3ED7FAAD" w:rsidR="00E63A65" w:rsidRDefault="00771887" w:rsidP="0065212E">
      <w:pPr>
        <w:jc w:val="both"/>
        <w:rPr>
          <w:color w:val="4F81BD" w:themeColor="accent1"/>
        </w:rPr>
      </w:pPr>
      <w:r>
        <w:rPr>
          <w:color w:val="4F81BD" w:themeColor="accent1"/>
        </w:rPr>
        <w:t xml:space="preserve">Il poursuit en affirmant que </w:t>
      </w:r>
      <w:r w:rsidR="00C02AB3">
        <w:rPr>
          <w:color w:val="4F81BD" w:themeColor="accent1"/>
        </w:rPr>
        <w:t>« </w:t>
      </w:r>
      <w:r w:rsidRPr="00771887">
        <w:rPr>
          <w:i/>
          <w:color w:val="4F81BD" w:themeColor="accent1"/>
        </w:rPr>
        <w:t xml:space="preserve">Les </w:t>
      </w:r>
      <w:r>
        <w:rPr>
          <w:i/>
          <w:color w:val="4F81BD" w:themeColor="accent1"/>
        </w:rPr>
        <w:t>TCI</w:t>
      </w:r>
      <w:r w:rsidR="000514F8">
        <w:rPr>
          <w:i/>
          <w:color w:val="4F81BD" w:themeColor="accent1"/>
        </w:rPr>
        <w:t xml:space="preserve"> comprennent </w:t>
      </w:r>
      <w:r w:rsidR="0027654F">
        <w:rPr>
          <w:i/>
          <w:color w:val="4F81BD" w:themeColor="accent1"/>
        </w:rPr>
        <w:t>trois membres. Ils se composent d’un président,</w:t>
      </w:r>
      <w:r w:rsidR="0027654F">
        <w:rPr>
          <w:color w:val="4F81BD" w:themeColor="accent1"/>
        </w:rPr>
        <w:t xml:space="preserve"> (…) </w:t>
      </w:r>
      <w:r w:rsidR="0027654F">
        <w:rPr>
          <w:i/>
          <w:color w:val="4F81BD" w:themeColor="accent1"/>
        </w:rPr>
        <w:t>d’un assesseur représentant les travailleurs salariés et d’un assesseur représentant les employeurs ou travailleurs indépendants</w:t>
      </w:r>
      <w:r w:rsidR="00C02AB3">
        <w:rPr>
          <w:i/>
          <w:color w:val="4F81BD" w:themeColor="accent1"/>
        </w:rPr>
        <w:t> »</w:t>
      </w:r>
      <w:r w:rsidR="0027654F">
        <w:rPr>
          <w:color w:val="4F81BD" w:themeColor="accent1"/>
        </w:rPr>
        <w:t xml:space="preserve">. </w:t>
      </w:r>
    </w:p>
    <w:p w14:paraId="6406944A" w14:textId="77777777" w:rsidR="00E8637C" w:rsidRDefault="00E8637C" w:rsidP="0065212E">
      <w:pPr>
        <w:jc w:val="both"/>
        <w:rPr>
          <w:color w:val="4F81BD" w:themeColor="accent1"/>
        </w:rPr>
      </w:pPr>
    </w:p>
    <w:p w14:paraId="6B73C3A1" w14:textId="04E565D3" w:rsidR="00E8637C" w:rsidRDefault="0070486E" w:rsidP="0065212E">
      <w:pPr>
        <w:jc w:val="both"/>
        <w:rPr>
          <w:color w:val="4F81BD" w:themeColor="accent1"/>
        </w:rPr>
      </w:pPr>
      <w:r>
        <w:rPr>
          <w:color w:val="4F81BD" w:themeColor="accent1"/>
        </w:rPr>
        <w:t>L’article L143-3</w:t>
      </w:r>
      <w:r w:rsidR="005206DE">
        <w:rPr>
          <w:color w:val="4F81BD" w:themeColor="accent1"/>
        </w:rPr>
        <w:t xml:space="preserve"> du </w:t>
      </w:r>
      <w:r w:rsidR="001F2E84">
        <w:rPr>
          <w:color w:val="4F81BD" w:themeColor="accent1"/>
        </w:rPr>
        <w:t>Code de la Sécurité sociale</w:t>
      </w:r>
      <w:r w:rsidR="00AA0B05">
        <w:rPr>
          <w:color w:val="4F81BD" w:themeColor="accent1"/>
        </w:rPr>
        <w:t xml:space="preserve"> dispose que </w:t>
      </w:r>
      <w:r w:rsidR="00C02AB3">
        <w:rPr>
          <w:color w:val="4F81BD" w:themeColor="accent1"/>
        </w:rPr>
        <w:t>« </w:t>
      </w:r>
      <w:r w:rsidR="00AA0B05">
        <w:rPr>
          <w:i/>
          <w:color w:val="4F81BD" w:themeColor="accent1"/>
        </w:rPr>
        <w:t xml:space="preserve">Les contestations mentionnées </w:t>
      </w:r>
      <w:r w:rsidR="00AA0B05">
        <w:rPr>
          <w:color w:val="4F81BD" w:themeColor="accent1"/>
        </w:rPr>
        <w:t>[aux quatre alinéas précédents de l’article L143-1]</w:t>
      </w:r>
      <w:r w:rsidR="002D1274">
        <w:rPr>
          <w:i/>
          <w:color w:val="4F81BD" w:themeColor="accent1"/>
        </w:rPr>
        <w:t xml:space="preserve"> sont portées en appel devant une Cour nationale de l’incapacité et de la tarification de l’assurance des accidents du travail</w:t>
      </w:r>
      <w:r w:rsidR="00C02AB3">
        <w:rPr>
          <w:i/>
          <w:color w:val="4F81BD" w:themeColor="accent1"/>
        </w:rPr>
        <w:t> »</w:t>
      </w:r>
      <w:r w:rsidR="002D1274">
        <w:rPr>
          <w:color w:val="4F81BD" w:themeColor="accent1"/>
        </w:rPr>
        <w:t xml:space="preserve">. </w:t>
      </w:r>
    </w:p>
    <w:p w14:paraId="581263EA" w14:textId="26738D74" w:rsidR="00FA2AF6" w:rsidRDefault="00FA2AF6" w:rsidP="0065212E">
      <w:pPr>
        <w:jc w:val="both"/>
        <w:rPr>
          <w:color w:val="4F81BD" w:themeColor="accent1"/>
        </w:rPr>
      </w:pPr>
      <w:r>
        <w:rPr>
          <w:color w:val="4F81BD" w:themeColor="accent1"/>
        </w:rPr>
        <w:t xml:space="preserve">Il poursuit en affirmant qu’elle est </w:t>
      </w:r>
      <w:r w:rsidR="00C02AB3">
        <w:rPr>
          <w:color w:val="4F81BD" w:themeColor="accent1"/>
        </w:rPr>
        <w:t>« </w:t>
      </w:r>
      <w:r>
        <w:rPr>
          <w:i/>
          <w:color w:val="4F81BD" w:themeColor="accent1"/>
        </w:rPr>
        <w:t>composée d’un président, magistrat du siège de la Cour d’appel dans le ressort de laquelle la CNITAT a son siège, désigné pour trois ans</w:t>
      </w:r>
      <w:r w:rsidR="005D0EF5">
        <w:rPr>
          <w:color w:val="4F81BD" w:themeColor="accent1"/>
        </w:rPr>
        <w:t xml:space="preserve"> (…)</w:t>
      </w:r>
      <w:r w:rsidR="005A65A8">
        <w:rPr>
          <w:i/>
          <w:color w:val="4F81BD" w:themeColor="accent1"/>
        </w:rPr>
        <w:t xml:space="preserve"> et d’assesseurs représentant les travailleurs salariés d’une part, et les employeurs ou travailleurs indépendants, d’autre part</w:t>
      </w:r>
      <w:r w:rsidR="00C02AB3">
        <w:rPr>
          <w:i/>
          <w:color w:val="4F81BD" w:themeColor="accent1"/>
        </w:rPr>
        <w:t> »</w:t>
      </w:r>
      <w:r w:rsidR="005A65A8">
        <w:rPr>
          <w:color w:val="4F81BD" w:themeColor="accent1"/>
        </w:rPr>
        <w:t xml:space="preserve">. </w:t>
      </w:r>
    </w:p>
    <w:p w14:paraId="4A0E43D5" w14:textId="77777777" w:rsidR="00DA4DA5" w:rsidRDefault="00DA4DA5" w:rsidP="0065212E">
      <w:pPr>
        <w:jc w:val="both"/>
        <w:rPr>
          <w:color w:val="4F81BD" w:themeColor="accent1"/>
        </w:rPr>
      </w:pPr>
    </w:p>
    <w:p w14:paraId="6AE20582" w14:textId="383E2C9C" w:rsidR="00DA4DA5" w:rsidRDefault="00DA4DA5" w:rsidP="0065212E">
      <w:pPr>
        <w:jc w:val="both"/>
        <w:rPr>
          <w:color w:val="4F81BD" w:themeColor="accent1"/>
        </w:rPr>
      </w:pPr>
      <w:r>
        <w:rPr>
          <w:color w:val="4F81BD" w:themeColor="accent1"/>
        </w:rPr>
        <w:t>Il est à noter qu</w:t>
      </w:r>
      <w:r w:rsidR="00427C0F">
        <w:rPr>
          <w:color w:val="4F81BD" w:themeColor="accent1"/>
        </w:rPr>
        <w:t>e, e</w:t>
      </w:r>
      <w:r>
        <w:rPr>
          <w:color w:val="4F81BD" w:themeColor="accent1"/>
        </w:rPr>
        <w:t xml:space="preserve">n vertu de l’article L143-4 du </w:t>
      </w:r>
      <w:r w:rsidR="001F2E84">
        <w:rPr>
          <w:color w:val="4F81BD" w:themeColor="accent1"/>
        </w:rPr>
        <w:t>Code de la Sécurité sociale</w:t>
      </w:r>
      <w:r w:rsidR="00427C0F">
        <w:rPr>
          <w:color w:val="4F81BD" w:themeColor="accent1"/>
        </w:rPr>
        <w:t xml:space="preserve">, </w:t>
      </w:r>
      <w:r w:rsidR="001741FA">
        <w:rPr>
          <w:color w:val="4F81BD" w:themeColor="accent1"/>
        </w:rPr>
        <w:t>« </w:t>
      </w:r>
      <w:r w:rsidR="00AE35C1">
        <w:rPr>
          <w:i/>
          <w:color w:val="4F81BD" w:themeColor="accent1"/>
        </w:rPr>
        <w:t>Les contestations mentionnées</w:t>
      </w:r>
      <w:r w:rsidR="00AE35C1">
        <w:rPr>
          <w:color w:val="4F81BD" w:themeColor="accent1"/>
        </w:rPr>
        <w:t xml:space="preserve"> [à l’alinéa restant de l’article L143-1 du </w:t>
      </w:r>
      <w:r w:rsidR="001F2E84">
        <w:rPr>
          <w:color w:val="4F81BD" w:themeColor="accent1"/>
        </w:rPr>
        <w:t>Code de la Sécurité sociale</w:t>
      </w:r>
      <w:r w:rsidR="00AE35C1">
        <w:rPr>
          <w:color w:val="4F81BD" w:themeColor="accent1"/>
        </w:rPr>
        <w:t>]</w:t>
      </w:r>
      <w:r w:rsidR="00FF5D97">
        <w:rPr>
          <w:color w:val="4F81BD" w:themeColor="accent1"/>
        </w:rPr>
        <w:t xml:space="preserve"> </w:t>
      </w:r>
      <w:r w:rsidR="00FF5D97" w:rsidRPr="00FF5D97">
        <w:rPr>
          <w:i/>
          <w:color w:val="4F81BD" w:themeColor="accent1"/>
        </w:rPr>
        <w:t>sont soumises en premier et dernier ressort à la CNITAT</w:t>
      </w:r>
      <w:r w:rsidR="001741FA">
        <w:rPr>
          <w:i/>
          <w:color w:val="4F81BD" w:themeColor="accent1"/>
        </w:rPr>
        <w:t> »</w:t>
      </w:r>
      <w:r w:rsidR="00FF5D97">
        <w:rPr>
          <w:color w:val="4F81BD" w:themeColor="accent1"/>
        </w:rPr>
        <w:t xml:space="preserve">. </w:t>
      </w:r>
    </w:p>
    <w:p w14:paraId="781E5E55" w14:textId="2E6280CF" w:rsidR="000610F3" w:rsidRDefault="000610F3" w:rsidP="0065212E">
      <w:pPr>
        <w:jc w:val="both"/>
        <w:rPr>
          <w:color w:val="4F81BD" w:themeColor="accent1"/>
        </w:rPr>
      </w:pPr>
      <w:r>
        <w:rPr>
          <w:color w:val="4F81BD" w:themeColor="accent1"/>
        </w:rPr>
        <w:t xml:space="preserve">L’activité de la CNITAT est importante puisqu’en 1999, elle a été saisie de 8 142 affaires, en augmentation de près de 10% depuis 6 ans. </w:t>
      </w:r>
    </w:p>
    <w:p w14:paraId="4089E892" w14:textId="77777777" w:rsidR="007E6C8E" w:rsidRDefault="007E6C8E" w:rsidP="0065212E">
      <w:pPr>
        <w:jc w:val="both"/>
        <w:rPr>
          <w:color w:val="4F81BD" w:themeColor="accent1"/>
        </w:rPr>
      </w:pPr>
    </w:p>
    <w:p w14:paraId="602AC48A" w14:textId="77777777" w:rsidR="00625764" w:rsidRDefault="007E6C8E" w:rsidP="0065212E">
      <w:pPr>
        <w:jc w:val="both"/>
        <w:rPr>
          <w:color w:val="4F81BD" w:themeColor="accent1"/>
        </w:rPr>
      </w:pPr>
      <w:r>
        <w:rPr>
          <w:color w:val="4F81BD" w:themeColor="accent1"/>
        </w:rPr>
        <w:t xml:space="preserve">Dans les deux situations, un pourvoi est possible devant la Cour de cassation. </w:t>
      </w:r>
    </w:p>
    <w:p w14:paraId="3B79F2E0" w14:textId="1DA052E8" w:rsidR="008A327A" w:rsidRPr="008F3007" w:rsidRDefault="00C44B39" w:rsidP="0065212E">
      <w:pPr>
        <w:jc w:val="both"/>
        <w:rPr>
          <w:color w:val="4F81BD" w:themeColor="accent1"/>
        </w:rPr>
      </w:pPr>
      <w:r>
        <w:rPr>
          <w:color w:val="4F81BD" w:themeColor="accent1"/>
        </w:rPr>
        <w:t>C’est le cas</w:t>
      </w:r>
      <w:r w:rsidR="00A9629D">
        <w:rPr>
          <w:color w:val="4F81BD" w:themeColor="accent1"/>
        </w:rPr>
        <w:t xml:space="preserve"> seulement depuis 1946</w:t>
      </w:r>
      <w:r w:rsidR="004C1F12">
        <w:rPr>
          <w:color w:val="4F81BD" w:themeColor="accent1"/>
        </w:rPr>
        <w:t>, étant donné</w:t>
      </w:r>
      <w:r w:rsidR="004228BB">
        <w:rPr>
          <w:color w:val="4F81BD" w:themeColor="accent1"/>
        </w:rPr>
        <w:t xml:space="preserve"> qu’avant cette date, </w:t>
      </w:r>
      <w:r w:rsidR="00540078">
        <w:rPr>
          <w:color w:val="4F81BD" w:themeColor="accent1"/>
        </w:rPr>
        <w:t xml:space="preserve">le contentieux de la </w:t>
      </w:r>
      <w:r w:rsidR="001F2E84">
        <w:rPr>
          <w:color w:val="4F81BD" w:themeColor="accent1"/>
        </w:rPr>
        <w:t>Sécurité sociale</w:t>
      </w:r>
      <w:r w:rsidR="00540078">
        <w:rPr>
          <w:color w:val="4F81BD" w:themeColor="accent1"/>
        </w:rPr>
        <w:t xml:space="preserve"> était un contentieux de nature administrative. </w:t>
      </w:r>
      <w:r w:rsidR="00F06F97">
        <w:rPr>
          <w:color w:val="4F81BD" w:themeColor="accent1"/>
        </w:rPr>
        <w:t>En effet,</w:t>
      </w:r>
      <w:r w:rsidR="00AF594C">
        <w:rPr>
          <w:color w:val="4F81BD" w:themeColor="accent1"/>
        </w:rPr>
        <w:t xml:space="preserve"> </w:t>
      </w:r>
      <w:r w:rsidR="00EC665B">
        <w:rPr>
          <w:color w:val="4F81BD" w:themeColor="accent1"/>
        </w:rPr>
        <w:t xml:space="preserve">les caisses de </w:t>
      </w:r>
      <w:r w:rsidR="001F2E84">
        <w:rPr>
          <w:color w:val="4F81BD" w:themeColor="accent1"/>
        </w:rPr>
        <w:t>Sécurité sociale</w:t>
      </w:r>
      <w:r w:rsidR="00EC665B">
        <w:rPr>
          <w:color w:val="4F81BD" w:themeColor="accent1"/>
        </w:rPr>
        <w:t xml:space="preserve">, bien qu’étant des organismes privés, </w:t>
      </w:r>
      <w:r w:rsidR="001D7222">
        <w:rPr>
          <w:color w:val="4F81BD" w:themeColor="accent1"/>
        </w:rPr>
        <w:t>étaient investies d’une mission de SP</w:t>
      </w:r>
      <w:r w:rsidR="00CD2945">
        <w:rPr>
          <w:color w:val="4F81BD" w:themeColor="accent1"/>
        </w:rPr>
        <w:t xml:space="preserve"> et détenait pour </w:t>
      </w:r>
      <w:r w:rsidR="00217D13">
        <w:rPr>
          <w:color w:val="4F81BD" w:themeColor="accent1"/>
        </w:rPr>
        <w:t>c</w:t>
      </w:r>
      <w:r w:rsidR="00CD2945">
        <w:rPr>
          <w:color w:val="4F81BD" w:themeColor="accent1"/>
        </w:rPr>
        <w:t>e faire</w:t>
      </w:r>
      <w:r w:rsidR="00684A7B">
        <w:rPr>
          <w:color w:val="4F81BD" w:themeColor="accent1"/>
        </w:rPr>
        <w:t xml:space="preserve"> de</w:t>
      </w:r>
      <w:r w:rsidR="00366B30">
        <w:rPr>
          <w:color w:val="4F81BD" w:themeColor="accent1"/>
        </w:rPr>
        <w:t>s</w:t>
      </w:r>
      <w:r w:rsidR="00684A7B">
        <w:rPr>
          <w:color w:val="4F81BD" w:themeColor="accent1"/>
        </w:rPr>
        <w:t xml:space="preserve"> PPP. </w:t>
      </w:r>
      <w:r w:rsidR="00380FFC">
        <w:rPr>
          <w:color w:val="4F81BD" w:themeColor="accent1"/>
        </w:rPr>
        <w:t>Ceci a changé à la demande des usagers</w:t>
      </w:r>
      <w:r w:rsidR="00207128">
        <w:rPr>
          <w:color w:val="4F81BD" w:themeColor="accent1"/>
        </w:rPr>
        <w:t>, qui estimaient</w:t>
      </w:r>
      <w:r w:rsidR="00243FC8">
        <w:rPr>
          <w:color w:val="4F81BD" w:themeColor="accent1"/>
        </w:rPr>
        <w:t xml:space="preserve">, à tort ou à raison, </w:t>
      </w:r>
      <w:r w:rsidR="00F93849">
        <w:rPr>
          <w:color w:val="4F81BD" w:themeColor="accent1"/>
        </w:rPr>
        <w:t xml:space="preserve">que le juge judiciaire serait </w:t>
      </w:r>
      <w:r w:rsidR="00933718">
        <w:rPr>
          <w:color w:val="4F81BD" w:themeColor="accent1"/>
        </w:rPr>
        <w:t xml:space="preserve">davantage </w:t>
      </w:r>
      <w:r w:rsidR="00F93849">
        <w:rPr>
          <w:color w:val="4F81BD" w:themeColor="accent1"/>
        </w:rPr>
        <w:t xml:space="preserve">protecteur de </w:t>
      </w:r>
      <w:r w:rsidR="00933718">
        <w:rPr>
          <w:color w:val="4F81BD" w:themeColor="accent1"/>
        </w:rPr>
        <w:t xml:space="preserve">leurs intérêts. </w:t>
      </w:r>
    </w:p>
    <w:p w14:paraId="176A29E5" w14:textId="77777777" w:rsidR="00FA18FF" w:rsidRDefault="00FA18FF" w:rsidP="0065212E">
      <w:pPr>
        <w:jc w:val="both"/>
      </w:pPr>
    </w:p>
    <w:p w14:paraId="50386DDE" w14:textId="436BAEF0" w:rsidR="00FA18FF" w:rsidRDefault="00FA18FF" w:rsidP="0065212E">
      <w:pPr>
        <w:jc w:val="both"/>
      </w:pPr>
      <w:r>
        <w:t xml:space="preserve">IV/ Présentation de l’article 6 §1 de la </w:t>
      </w:r>
      <w:r w:rsidR="001F2E84">
        <w:t>Convention européenne de sauvegarde des droits de l’Homme</w:t>
      </w:r>
      <w:r>
        <w:t xml:space="preserve">. </w:t>
      </w:r>
    </w:p>
    <w:p w14:paraId="6A36BB81" w14:textId="6866DAB9" w:rsidR="00831CC5" w:rsidRDefault="005A773B" w:rsidP="0065212E">
      <w:pPr>
        <w:jc w:val="both"/>
        <w:rPr>
          <w:color w:val="4F81BD" w:themeColor="accent1"/>
        </w:rPr>
      </w:pPr>
      <w:r>
        <w:rPr>
          <w:color w:val="4F81BD" w:themeColor="accent1"/>
        </w:rPr>
        <w:t xml:space="preserve">La Convention européenne des droits de l’Homme garantit le droit de toute personne à un </w:t>
      </w:r>
      <w:r w:rsidRPr="005A773B">
        <w:rPr>
          <w:i/>
          <w:color w:val="4F81BD" w:themeColor="accent1"/>
        </w:rPr>
        <w:t>procès équitable</w:t>
      </w:r>
      <w:r>
        <w:rPr>
          <w:color w:val="4F81BD" w:themeColor="accent1"/>
        </w:rPr>
        <w:t xml:space="preserve"> dans son article 6</w:t>
      </w:r>
      <w:r w:rsidR="009C2707">
        <w:rPr>
          <w:color w:val="4F81BD" w:themeColor="accent1"/>
        </w:rPr>
        <w:t xml:space="preserve"> §1</w:t>
      </w:r>
      <w:r>
        <w:rPr>
          <w:color w:val="4F81BD" w:themeColor="accent1"/>
        </w:rPr>
        <w:t xml:space="preserve">. </w:t>
      </w:r>
      <w:r w:rsidR="00A91BE8">
        <w:rPr>
          <w:color w:val="4F81BD" w:themeColor="accent1"/>
        </w:rPr>
        <w:t xml:space="preserve">Cette disposition revêt une importance considérable ; le droit à un </w:t>
      </w:r>
      <w:r w:rsidR="00A91BE8" w:rsidRPr="00A91BE8">
        <w:rPr>
          <w:i/>
          <w:color w:val="4F81BD" w:themeColor="accent1"/>
        </w:rPr>
        <w:t>procès équitable</w:t>
      </w:r>
      <w:r w:rsidR="00A91BE8">
        <w:rPr>
          <w:color w:val="4F81BD" w:themeColor="accent1"/>
        </w:rPr>
        <w:t xml:space="preserve"> désigne, en effet, </w:t>
      </w:r>
      <w:r w:rsidR="008C09CC">
        <w:rPr>
          <w:color w:val="4F81BD" w:themeColor="accent1"/>
        </w:rPr>
        <w:t xml:space="preserve">l’ensemble des garanties de bonne organisation et de bon fonctionnement de la justice. </w:t>
      </w:r>
    </w:p>
    <w:p w14:paraId="5FAC1DCD" w14:textId="5D68053C" w:rsidR="009C2707" w:rsidRPr="009C2707" w:rsidRDefault="009C2707" w:rsidP="0065212E">
      <w:pPr>
        <w:jc w:val="both"/>
        <w:rPr>
          <w:color w:val="4F81BD" w:themeColor="accent1"/>
        </w:rPr>
      </w:pPr>
      <w:r>
        <w:rPr>
          <w:color w:val="4F81BD" w:themeColor="accent1"/>
        </w:rPr>
        <w:t xml:space="preserve">Il est ainsi formulé : </w:t>
      </w:r>
      <w:r w:rsidR="00532C75">
        <w:rPr>
          <w:color w:val="4F81BD" w:themeColor="accent1"/>
        </w:rPr>
        <w:t>« </w:t>
      </w:r>
      <w:r>
        <w:rPr>
          <w:i/>
          <w:color w:val="4F81BD" w:themeColor="accent1"/>
        </w:rPr>
        <w:t>Toute personne a droit à ce que sa cause soit entendue équitablement, publiquement et dans un délai raisonnable, par un tribunal indépendant et impartial, établi par la loi, qui décidera, soit des contestations sur des droits et obligations de caractère civil, soit du bien fondé de toute accusation en matière pénale dirigée contre elle</w:t>
      </w:r>
      <w:r w:rsidR="00532C75">
        <w:rPr>
          <w:i/>
          <w:color w:val="4F81BD" w:themeColor="accent1"/>
        </w:rPr>
        <w:t> </w:t>
      </w:r>
      <w:r w:rsidR="00532C75" w:rsidRPr="005C364A">
        <w:rPr>
          <w:color w:val="4F81BD" w:themeColor="accent1"/>
        </w:rPr>
        <w:t>»</w:t>
      </w:r>
      <w:r>
        <w:rPr>
          <w:color w:val="4F81BD" w:themeColor="accent1"/>
        </w:rPr>
        <w:t xml:space="preserve">. </w:t>
      </w:r>
    </w:p>
    <w:p w14:paraId="15AB419E" w14:textId="77777777" w:rsidR="00E41F9E" w:rsidRDefault="00E41F9E" w:rsidP="0065212E">
      <w:pPr>
        <w:jc w:val="both"/>
      </w:pPr>
    </w:p>
    <w:p w14:paraId="66010780" w14:textId="587053A0" w:rsidR="00E41F9E" w:rsidRDefault="00F80427" w:rsidP="0065212E">
      <w:pPr>
        <w:jc w:val="both"/>
      </w:pPr>
      <w:r>
        <w:t xml:space="preserve">V/ </w:t>
      </w:r>
      <w:r w:rsidR="00EA6952">
        <w:t xml:space="preserve">Applicabilité de l’article 6 §1 au contentieux de la </w:t>
      </w:r>
      <w:r w:rsidR="001F2E84">
        <w:t>Sécurité sociale</w:t>
      </w:r>
      <w:r w:rsidR="00EA6952">
        <w:t xml:space="preserve">. </w:t>
      </w:r>
    </w:p>
    <w:p w14:paraId="51E6F2CB" w14:textId="78E8EAB5" w:rsidR="00587A91" w:rsidRDefault="00981F16" w:rsidP="0065212E">
      <w:pPr>
        <w:jc w:val="both"/>
        <w:rPr>
          <w:color w:val="4F81BD" w:themeColor="accent1"/>
        </w:rPr>
      </w:pPr>
      <w:r>
        <w:rPr>
          <w:color w:val="4F81BD" w:themeColor="accent1"/>
        </w:rPr>
        <w:t xml:space="preserve">Le champ d’application </w:t>
      </w:r>
      <w:r>
        <w:rPr>
          <w:i/>
          <w:color w:val="4F81BD" w:themeColor="accent1"/>
        </w:rPr>
        <w:t xml:space="preserve">ratione </w:t>
      </w:r>
      <w:r w:rsidR="00BD2939">
        <w:rPr>
          <w:i/>
          <w:color w:val="4F81BD" w:themeColor="accent1"/>
        </w:rPr>
        <w:t>personae</w:t>
      </w:r>
      <w:r>
        <w:rPr>
          <w:color w:val="4F81BD" w:themeColor="accent1"/>
        </w:rPr>
        <w:t xml:space="preserve"> de cette disposition ne soulève pas de difficultés particulières puisqu’il renvoie à l’interprétation de l’article </w:t>
      </w:r>
      <w:r w:rsidR="0047788C">
        <w:rPr>
          <w:color w:val="4F81BD" w:themeColor="accent1"/>
        </w:rPr>
        <w:t xml:space="preserve">premier de la </w:t>
      </w:r>
      <w:r w:rsidR="001F2E84">
        <w:rPr>
          <w:color w:val="4F81BD" w:themeColor="accent1"/>
        </w:rPr>
        <w:t>Convention européenne de sauvegarde des droits de l’Homme</w:t>
      </w:r>
      <w:r w:rsidR="008830A8">
        <w:rPr>
          <w:color w:val="4F81BD" w:themeColor="accent1"/>
        </w:rPr>
        <w:t xml:space="preserve"> visant </w:t>
      </w:r>
      <w:r w:rsidR="008830A8">
        <w:rPr>
          <w:i/>
          <w:color w:val="4F81BD" w:themeColor="accent1"/>
        </w:rPr>
        <w:t>toute</w:t>
      </w:r>
      <w:r w:rsidR="008830A8">
        <w:rPr>
          <w:color w:val="4F81BD" w:themeColor="accent1"/>
        </w:rPr>
        <w:t xml:space="preserve"> personne physique ou morale. </w:t>
      </w:r>
    </w:p>
    <w:p w14:paraId="2782E2E0" w14:textId="6C03B6A6" w:rsidR="00BD2939" w:rsidRDefault="00DF4EFD" w:rsidP="0065212E">
      <w:pPr>
        <w:jc w:val="both"/>
        <w:rPr>
          <w:color w:val="4F81BD" w:themeColor="accent1"/>
        </w:rPr>
      </w:pPr>
      <w:r>
        <w:rPr>
          <w:color w:val="4F81BD" w:themeColor="accent1"/>
        </w:rPr>
        <w:t>Il en va différemment</w:t>
      </w:r>
      <w:r w:rsidR="005E242D">
        <w:rPr>
          <w:color w:val="4F81BD" w:themeColor="accent1"/>
        </w:rPr>
        <w:t xml:space="preserve"> du champ d’application </w:t>
      </w:r>
      <w:r w:rsidR="005E242D">
        <w:rPr>
          <w:i/>
          <w:color w:val="4F81BD" w:themeColor="accent1"/>
        </w:rPr>
        <w:t>ratione materiae</w:t>
      </w:r>
      <w:r w:rsidR="007E2BB0">
        <w:rPr>
          <w:color w:val="4F81BD" w:themeColor="accent1"/>
        </w:rPr>
        <w:t xml:space="preserve">, l’article 6 §1 précisant que le droit à un procès équitable concerne </w:t>
      </w:r>
      <w:r w:rsidR="005C71FE">
        <w:rPr>
          <w:color w:val="4F81BD" w:themeColor="accent1"/>
        </w:rPr>
        <w:t>« </w:t>
      </w:r>
      <w:r w:rsidR="007E2BB0" w:rsidRPr="007E2BB0">
        <w:rPr>
          <w:i/>
          <w:color w:val="4F81BD" w:themeColor="accent1"/>
        </w:rPr>
        <w:t xml:space="preserve">les </w:t>
      </w:r>
      <w:r w:rsidR="007E2BB0">
        <w:rPr>
          <w:i/>
          <w:color w:val="4F81BD" w:themeColor="accent1"/>
        </w:rPr>
        <w:t>contestations sur les droits et obligations de caractère civil</w:t>
      </w:r>
      <w:r w:rsidR="007E2BB0">
        <w:rPr>
          <w:color w:val="4F81BD" w:themeColor="accent1"/>
        </w:rPr>
        <w:t xml:space="preserve"> et </w:t>
      </w:r>
      <w:r w:rsidR="007E2BB0">
        <w:rPr>
          <w:i/>
          <w:color w:val="4F81BD" w:themeColor="accent1"/>
        </w:rPr>
        <w:t>le bien-fondé d’accusation en matière pénale</w:t>
      </w:r>
      <w:r w:rsidR="005C71FE" w:rsidRPr="005C71FE">
        <w:rPr>
          <w:color w:val="4F81BD" w:themeColor="accent1"/>
        </w:rPr>
        <w:t> »</w:t>
      </w:r>
      <w:r w:rsidR="007E2BB0">
        <w:rPr>
          <w:color w:val="4F81BD" w:themeColor="accent1"/>
        </w:rPr>
        <w:t xml:space="preserve">. </w:t>
      </w:r>
    </w:p>
    <w:p w14:paraId="6B6E1C87" w14:textId="77777777" w:rsidR="00AF300F" w:rsidRDefault="00AF300F" w:rsidP="0065212E">
      <w:pPr>
        <w:jc w:val="both"/>
        <w:rPr>
          <w:color w:val="4F81BD" w:themeColor="accent1"/>
        </w:rPr>
      </w:pPr>
    </w:p>
    <w:p w14:paraId="7A4967B1" w14:textId="3A5F5BC3" w:rsidR="00AF300F" w:rsidRDefault="00AF300F" w:rsidP="0065212E">
      <w:pPr>
        <w:jc w:val="both"/>
        <w:rPr>
          <w:color w:val="4F81BD" w:themeColor="accent1"/>
        </w:rPr>
      </w:pPr>
      <w:r>
        <w:rPr>
          <w:color w:val="4F81BD" w:themeColor="accent1"/>
        </w:rPr>
        <w:t xml:space="preserve">Dans une décision </w:t>
      </w:r>
      <w:r>
        <w:rPr>
          <w:color w:val="4F81BD" w:themeColor="accent1"/>
          <w:u w:val="single"/>
        </w:rPr>
        <w:t xml:space="preserve">Golder c/ </w:t>
      </w:r>
      <w:r w:rsidR="008D4D6B">
        <w:rPr>
          <w:color w:val="4F81BD" w:themeColor="accent1"/>
          <w:u w:val="single"/>
        </w:rPr>
        <w:t>Royaume-Uni</w:t>
      </w:r>
      <w:r w:rsidR="008D4D6B">
        <w:rPr>
          <w:color w:val="4F81BD" w:themeColor="accent1"/>
        </w:rPr>
        <w:t xml:space="preserve"> du 21 février 1975</w:t>
      </w:r>
      <w:r w:rsidR="00B13C0B">
        <w:rPr>
          <w:color w:val="4F81BD" w:themeColor="accent1"/>
        </w:rPr>
        <w:t xml:space="preserve">, </w:t>
      </w:r>
      <w:r w:rsidR="00BA490A">
        <w:rPr>
          <w:color w:val="4F81BD" w:themeColor="accent1"/>
        </w:rPr>
        <w:t>la CEDH a considérablement étendu</w:t>
      </w:r>
      <w:r w:rsidR="00215BFD">
        <w:rPr>
          <w:color w:val="4F81BD" w:themeColor="accent1"/>
        </w:rPr>
        <w:t xml:space="preserve"> le champ d’application du droit à un procès équitable de sorte que</w:t>
      </w:r>
      <w:r w:rsidR="00151E9A">
        <w:rPr>
          <w:color w:val="4F81BD" w:themeColor="accent1"/>
        </w:rPr>
        <w:t xml:space="preserve"> ce droit a pu trouver à s’appliquer aux juridictions de la </w:t>
      </w:r>
      <w:r w:rsidR="001F2E84">
        <w:rPr>
          <w:color w:val="4F81BD" w:themeColor="accent1"/>
        </w:rPr>
        <w:t>Sécurité sociale</w:t>
      </w:r>
      <w:r w:rsidR="00151E9A">
        <w:rPr>
          <w:color w:val="4F81BD" w:themeColor="accent1"/>
        </w:rPr>
        <w:t xml:space="preserve">. </w:t>
      </w:r>
    </w:p>
    <w:p w14:paraId="6D8466A6" w14:textId="77777777" w:rsidR="00DB26DC" w:rsidRDefault="00DB26DC" w:rsidP="0065212E">
      <w:pPr>
        <w:jc w:val="both"/>
        <w:rPr>
          <w:color w:val="4F81BD" w:themeColor="accent1"/>
        </w:rPr>
      </w:pPr>
    </w:p>
    <w:p w14:paraId="0B62DFF9" w14:textId="75108882" w:rsidR="00DB26DC" w:rsidRDefault="00B75697" w:rsidP="0065212E">
      <w:pPr>
        <w:jc w:val="both"/>
        <w:rPr>
          <w:color w:val="4F81BD" w:themeColor="accent1"/>
        </w:rPr>
      </w:pPr>
      <w:r>
        <w:rPr>
          <w:color w:val="4F81BD" w:themeColor="accent1"/>
        </w:rPr>
        <w:t xml:space="preserve">La Chambre sociale de la Cour de cassation, </w:t>
      </w:r>
      <w:r w:rsidR="002C75D0">
        <w:rPr>
          <w:color w:val="4F81BD" w:themeColor="accent1"/>
        </w:rPr>
        <w:t>dans des décisions</w:t>
      </w:r>
      <w:r w:rsidR="00A840CC">
        <w:rPr>
          <w:color w:val="4F81BD" w:themeColor="accent1"/>
        </w:rPr>
        <w:t xml:space="preserve"> </w:t>
      </w:r>
      <w:r w:rsidR="00A840CC">
        <w:rPr>
          <w:color w:val="4F81BD" w:themeColor="accent1"/>
          <w:u w:val="single"/>
        </w:rPr>
        <w:t>Madaci</w:t>
      </w:r>
      <w:r w:rsidR="00A840CC">
        <w:rPr>
          <w:color w:val="4F81BD" w:themeColor="accent1"/>
        </w:rPr>
        <w:t xml:space="preserve"> du 17 décembre 1998, concernant le TCI et </w:t>
      </w:r>
      <w:r w:rsidR="00A840CC">
        <w:rPr>
          <w:color w:val="4F81BD" w:themeColor="accent1"/>
          <w:u w:val="single"/>
        </w:rPr>
        <w:t>Société Ferry Capitain</w:t>
      </w:r>
      <w:r w:rsidR="00A840CC">
        <w:rPr>
          <w:color w:val="4F81BD" w:themeColor="accent1"/>
        </w:rPr>
        <w:t xml:space="preserve"> du 28 </w:t>
      </w:r>
      <w:r w:rsidR="005170AD">
        <w:rPr>
          <w:color w:val="4F81BD" w:themeColor="accent1"/>
        </w:rPr>
        <w:t>mai 1998, concernant la CNITAT, a reconnu le caractère juridictionnel</w:t>
      </w:r>
      <w:r w:rsidR="00FC183F">
        <w:rPr>
          <w:color w:val="4F81BD" w:themeColor="accent1"/>
        </w:rPr>
        <w:t xml:space="preserve"> de ces deux </w:t>
      </w:r>
      <w:r w:rsidR="00D2180E">
        <w:rPr>
          <w:color w:val="4F81BD" w:themeColor="accent1"/>
        </w:rPr>
        <w:t>entités</w:t>
      </w:r>
      <w:r w:rsidR="00FC183F">
        <w:rPr>
          <w:color w:val="4F81BD" w:themeColor="accent1"/>
        </w:rPr>
        <w:t xml:space="preserve">. </w:t>
      </w:r>
    </w:p>
    <w:p w14:paraId="67D25D57" w14:textId="65E9B25E" w:rsidR="002B19CC" w:rsidRPr="00725F28" w:rsidRDefault="002B19CC" w:rsidP="0065212E">
      <w:pPr>
        <w:jc w:val="both"/>
        <w:rPr>
          <w:color w:val="4F81BD" w:themeColor="accent1"/>
        </w:rPr>
      </w:pPr>
      <w:r>
        <w:rPr>
          <w:color w:val="4F81BD" w:themeColor="accent1"/>
        </w:rPr>
        <w:t xml:space="preserve">La mise en relation de ces décisions avec la décision </w:t>
      </w:r>
      <w:r w:rsidR="002E18E5">
        <w:rPr>
          <w:color w:val="4F81BD" w:themeColor="accent1"/>
        </w:rPr>
        <w:t xml:space="preserve">de la CEDH </w:t>
      </w:r>
      <w:r w:rsidR="002E18E5">
        <w:rPr>
          <w:color w:val="4F81BD" w:themeColor="accent1"/>
          <w:u w:val="single"/>
        </w:rPr>
        <w:t>Demicoli c/ Malte</w:t>
      </w:r>
      <w:r w:rsidR="002E18E5">
        <w:rPr>
          <w:color w:val="4F81BD" w:themeColor="accent1"/>
        </w:rPr>
        <w:t xml:space="preserve"> du 27 aoû</w:t>
      </w:r>
      <w:r w:rsidR="008E0EB4">
        <w:rPr>
          <w:color w:val="4F81BD" w:themeColor="accent1"/>
        </w:rPr>
        <w:t xml:space="preserve">t 1991, </w:t>
      </w:r>
      <w:r w:rsidR="00B25443">
        <w:rPr>
          <w:color w:val="4F81BD" w:themeColor="accent1"/>
        </w:rPr>
        <w:t>caractérisant u</w:t>
      </w:r>
      <w:r w:rsidR="007269E5">
        <w:rPr>
          <w:color w:val="4F81BD" w:themeColor="accent1"/>
        </w:rPr>
        <w:t xml:space="preserve">n tribunal </w:t>
      </w:r>
      <w:r w:rsidR="008341C7">
        <w:rPr>
          <w:color w:val="4F81BD" w:themeColor="accent1"/>
        </w:rPr>
        <w:t>« </w:t>
      </w:r>
      <w:r w:rsidR="007269E5">
        <w:rPr>
          <w:i/>
          <w:color w:val="4F81BD" w:themeColor="accent1"/>
        </w:rPr>
        <w:t xml:space="preserve">par son rôle juridictionnel : </w:t>
      </w:r>
      <w:r w:rsidR="00725F28">
        <w:rPr>
          <w:i/>
          <w:color w:val="4F81BD" w:themeColor="accent1"/>
        </w:rPr>
        <w:t>trancher, sur la base de normes de droit et à l’issue d’une procédure organisée, toute question relevant de sa compétence</w:t>
      </w:r>
      <w:r w:rsidR="008341C7" w:rsidRPr="008341C7">
        <w:rPr>
          <w:color w:val="4F81BD" w:themeColor="accent1"/>
        </w:rPr>
        <w:t> »</w:t>
      </w:r>
      <w:r w:rsidR="00027220">
        <w:rPr>
          <w:color w:val="4F81BD" w:themeColor="accent1"/>
        </w:rPr>
        <w:t xml:space="preserve">, </w:t>
      </w:r>
      <w:r w:rsidR="00CF4462">
        <w:rPr>
          <w:color w:val="4F81BD" w:themeColor="accent1"/>
        </w:rPr>
        <w:t xml:space="preserve">permet de déduire sans </w:t>
      </w:r>
      <w:r w:rsidR="000D2AF3">
        <w:rPr>
          <w:color w:val="4F81BD" w:themeColor="accent1"/>
        </w:rPr>
        <w:t>difficulté l’applicabilité de l’</w:t>
      </w:r>
      <w:r w:rsidR="002E4F5C">
        <w:rPr>
          <w:color w:val="4F81BD" w:themeColor="accent1"/>
        </w:rPr>
        <w:t xml:space="preserve">article 6 §1 de la </w:t>
      </w:r>
      <w:r w:rsidR="001F2E84">
        <w:rPr>
          <w:color w:val="4F81BD" w:themeColor="accent1"/>
        </w:rPr>
        <w:t>Convention européenne de sauvegarde des droits de l’Homme</w:t>
      </w:r>
      <w:r w:rsidR="002E4F5C">
        <w:rPr>
          <w:color w:val="4F81BD" w:themeColor="accent1"/>
        </w:rPr>
        <w:t xml:space="preserve"> aux TCI et CNITAT. </w:t>
      </w:r>
    </w:p>
    <w:p w14:paraId="3E669D73" w14:textId="77777777" w:rsidR="003E167F" w:rsidRDefault="003E167F" w:rsidP="0065212E">
      <w:pPr>
        <w:jc w:val="both"/>
      </w:pPr>
    </w:p>
    <w:p w14:paraId="01B30EF6" w14:textId="5A004CAC" w:rsidR="003E167F" w:rsidRDefault="003E167F" w:rsidP="0065212E">
      <w:pPr>
        <w:jc w:val="both"/>
      </w:pPr>
      <w:r>
        <w:t xml:space="preserve">VI/ Enjeux de l’applicabilité de l’article 6 §1 au contentieux de la </w:t>
      </w:r>
      <w:r w:rsidR="001F2E84">
        <w:t>Sécurité sociale</w:t>
      </w:r>
      <w:r>
        <w:t xml:space="preserve">. </w:t>
      </w:r>
    </w:p>
    <w:p w14:paraId="35F59B46" w14:textId="4C60F4FE" w:rsidR="00F96A24" w:rsidRDefault="00C246AD" w:rsidP="0065212E">
      <w:pPr>
        <w:jc w:val="both"/>
        <w:rPr>
          <w:color w:val="4F81BD" w:themeColor="accent1"/>
        </w:rPr>
      </w:pPr>
      <w:r w:rsidRPr="00C246AD">
        <w:rPr>
          <w:color w:val="4F81BD" w:themeColor="accent1"/>
        </w:rPr>
        <w:t>L’avocat</w:t>
      </w:r>
      <w:r>
        <w:rPr>
          <w:color w:val="4F81BD" w:themeColor="accent1"/>
        </w:rPr>
        <w:t xml:space="preserve"> général M. Lyon-Caen</w:t>
      </w:r>
      <w:r w:rsidR="00950F0D">
        <w:rPr>
          <w:color w:val="4F81BD" w:themeColor="accent1"/>
        </w:rPr>
        <w:t xml:space="preserve">, </w:t>
      </w:r>
      <w:r w:rsidR="001236BA">
        <w:rPr>
          <w:color w:val="4F81BD" w:themeColor="accent1"/>
        </w:rPr>
        <w:t>dans l</w:t>
      </w:r>
      <w:r w:rsidR="00950F0D">
        <w:rPr>
          <w:color w:val="4F81BD" w:themeColor="accent1"/>
        </w:rPr>
        <w:t>es conclusions qu’</w:t>
      </w:r>
      <w:r w:rsidR="00836835">
        <w:rPr>
          <w:color w:val="4F81BD" w:themeColor="accent1"/>
        </w:rPr>
        <w:t>il a rédigées</w:t>
      </w:r>
      <w:r w:rsidR="001236BA">
        <w:rPr>
          <w:color w:val="4F81BD" w:themeColor="accent1"/>
        </w:rPr>
        <w:t xml:space="preserve"> </w:t>
      </w:r>
      <w:r w:rsidR="00E60789">
        <w:rPr>
          <w:color w:val="4F81BD" w:themeColor="accent1"/>
        </w:rPr>
        <w:t>préalablement à</w:t>
      </w:r>
      <w:r w:rsidR="001236BA">
        <w:rPr>
          <w:color w:val="4F81BD" w:themeColor="accent1"/>
        </w:rPr>
        <w:t xml:space="preserve"> la décision de l’Assemblée plénière de la Cour de cassation du 22 décembre 2000</w:t>
      </w:r>
      <w:r w:rsidR="0080038B">
        <w:rPr>
          <w:color w:val="4F81BD" w:themeColor="accent1"/>
        </w:rPr>
        <w:t xml:space="preserve">, </w:t>
      </w:r>
      <w:r w:rsidR="008445A7">
        <w:rPr>
          <w:color w:val="4F81BD" w:themeColor="accent1"/>
        </w:rPr>
        <w:t xml:space="preserve">a soulevé </w:t>
      </w:r>
      <w:r w:rsidR="00E77AD6">
        <w:rPr>
          <w:color w:val="4F81BD" w:themeColor="accent1"/>
        </w:rPr>
        <w:t>les nombreuses</w:t>
      </w:r>
      <w:r w:rsidR="008445A7">
        <w:rPr>
          <w:color w:val="4F81BD" w:themeColor="accent1"/>
        </w:rPr>
        <w:t xml:space="preserve"> </w:t>
      </w:r>
      <w:r w:rsidR="001078AE">
        <w:rPr>
          <w:color w:val="4F81BD" w:themeColor="accent1"/>
        </w:rPr>
        <w:t xml:space="preserve">incompatibilités </w:t>
      </w:r>
      <w:r w:rsidR="00E77AD6">
        <w:rPr>
          <w:color w:val="4F81BD" w:themeColor="accent1"/>
        </w:rPr>
        <w:t xml:space="preserve">du contentieux de la </w:t>
      </w:r>
      <w:r w:rsidR="001F2E84">
        <w:rPr>
          <w:color w:val="4F81BD" w:themeColor="accent1"/>
        </w:rPr>
        <w:t>Sécurité sociale</w:t>
      </w:r>
      <w:r w:rsidR="00DC5BA4">
        <w:rPr>
          <w:color w:val="4F81BD" w:themeColor="accent1"/>
        </w:rPr>
        <w:t xml:space="preserve"> avec les exigences imposées par l’article 6 §1 de la </w:t>
      </w:r>
      <w:r w:rsidR="001F2E84">
        <w:rPr>
          <w:color w:val="4F81BD" w:themeColor="accent1"/>
        </w:rPr>
        <w:t>Convention européenne de sauvegarde des droits de l’Homme</w:t>
      </w:r>
      <w:r w:rsidR="00DC5BA4">
        <w:rPr>
          <w:color w:val="4F81BD" w:themeColor="accent1"/>
        </w:rPr>
        <w:t xml:space="preserve">. </w:t>
      </w:r>
    </w:p>
    <w:p w14:paraId="72B70EF1" w14:textId="25A66828" w:rsidR="00597788" w:rsidRDefault="005E547F" w:rsidP="0065212E">
      <w:pPr>
        <w:jc w:val="both"/>
        <w:rPr>
          <w:color w:val="4F81BD" w:themeColor="accent1"/>
        </w:rPr>
      </w:pPr>
      <w:r>
        <w:rPr>
          <w:color w:val="4F81BD" w:themeColor="accent1"/>
        </w:rPr>
        <w:t xml:space="preserve">Le nombre important </w:t>
      </w:r>
      <w:r w:rsidR="0078736B">
        <w:rPr>
          <w:color w:val="4F81BD" w:themeColor="accent1"/>
        </w:rPr>
        <w:t>de</w:t>
      </w:r>
      <w:r w:rsidR="00A511AC">
        <w:rPr>
          <w:color w:val="4F81BD" w:themeColor="accent1"/>
        </w:rPr>
        <w:t xml:space="preserve"> violations </w:t>
      </w:r>
      <w:r w:rsidR="00170D70">
        <w:rPr>
          <w:color w:val="4F81BD" w:themeColor="accent1"/>
        </w:rPr>
        <w:t>retenue</w:t>
      </w:r>
      <w:r>
        <w:rPr>
          <w:color w:val="4F81BD" w:themeColor="accent1"/>
        </w:rPr>
        <w:t>s</w:t>
      </w:r>
      <w:r w:rsidR="00170D70">
        <w:rPr>
          <w:color w:val="4F81BD" w:themeColor="accent1"/>
        </w:rPr>
        <w:t xml:space="preserve"> par la Cour de cassation</w:t>
      </w:r>
      <w:r w:rsidR="00CB1124">
        <w:rPr>
          <w:color w:val="4F81BD" w:themeColor="accent1"/>
        </w:rPr>
        <w:t xml:space="preserve"> </w:t>
      </w:r>
      <w:r w:rsidR="00BF74B3">
        <w:rPr>
          <w:color w:val="4F81BD" w:themeColor="accent1"/>
        </w:rPr>
        <w:t xml:space="preserve">en raison de l’organisation </w:t>
      </w:r>
      <w:r w:rsidR="00170D70">
        <w:rPr>
          <w:color w:val="4F81BD" w:themeColor="accent1"/>
        </w:rPr>
        <w:t xml:space="preserve">ou du fonctionnement </w:t>
      </w:r>
      <w:r w:rsidR="00C67386">
        <w:rPr>
          <w:color w:val="4F81BD" w:themeColor="accent1"/>
        </w:rPr>
        <w:t xml:space="preserve">des juridictions de la </w:t>
      </w:r>
      <w:r w:rsidR="001F2E84">
        <w:rPr>
          <w:color w:val="4F81BD" w:themeColor="accent1"/>
        </w:rPr>
        <w:t>Sécurité sociale</w:t>
      </w:r>
      <w:r w:rsidR="00B51D33">
        <w:rPr>
          <w:color w:val="4F81BD" w:themeColor="accent1"/>
        </w:rPr>
        <w:t xml:space="preserve"> </w:t>
      </w:r>
      <w:r w:rsidR="008F20A4">
        <w:rPr>
          <w:color w:val="4F81BD" w:themeColor="accent1"/>
        </w:rPr>
        <w:t>est symbolique du retard</w:t>
      </w:r>
      <w:r w:rsidR="008E2258">
        <w:rPr>
          <w:color w:val="4F81BD" w:themeColor="accent1"/>
        </w:rPr>
        <w:t xml:space="preserve"> </w:t>
      </w:r>
      <w:r w:rsidR="009809BA">
        <w:rPr>
          <w:color w:val="4F81BD" w:themeColor="accent1"/>
        </w:rPr>
        <w:t xml:space="preserve">qu’elles avaient </w:t>
      </w:r>
      <w:r w:rsidR="00FC7EF2">
        <w:rPr>
          <w:color w:val="4F81BD" w:themeColor="accent1"/>
        </w:rPr>
        <w:t>accumulé</w:t>
      </w:r>
      <w:r w:rsidR="009809BA">
        <w:rPr>
          <w:color w:val="4F81BD" w:themeColor="accent1"/>
        </w:rPr>
        <w:t xml:space="preserve"> depuis</w:t>
      </w:r>
      <w:r w:rsidR="00FC7EF2">
        <w:rPr>
          <w:color w:val="4F81BD" w:themeColor="accent1"/>
        </w:rPr>
        <w:t xml:space="preserve"> leur création. </w:t>
      </w:r>
    </w:p>
    <w:p w14:paraId="627D8750" w14:textId="275391D8" w:rsidR="002A4182" w:rsidRPr="002A4182" w:rsidRDefault="002A4182" w:rsidP="0065212E">
      <w:pPr>
        <w:jc w:val="both"/>
        <w:rPr>
          <w:color w:val="4F81BD" w:themeColor="accent1"/>
        </w:rPr>
      </w:pPr>
      <w:r>
        <w:rPr>
          <w:color w:val="4F81BD" w:themeColor="accent1"/>
        </w:rPr>
        <w:t xml:space="preserve">L’avocat général affirme ainsi que </w:t>
      </w:r>
      <w:r w:rsidRPr="002A4182">
        <w:rPr>
          <w:color w:val="4F81BD" w:themeColor="accent1"/>
        </w:rPr>
        <w:t>« </w:t>
      </w:r>
      <w:r>
        <w:rPr>
          <w:i/>
          <w:color w:val="4F81BD" w:themeColor="accent1"/>
        </w:rPr>
        <w:t>Tout concourt, à</w:t>
      </w:r>
      <w:r>
        <w:rPr>
          <w:color w:val="4F81BD" w:themeColor="accent1"/>
        </w:rPr>
        <w:t xml:space="preserve"> [son]</w:t>
      </w:r>
      <w:r>
        <w:rPr>
          <w:i/>
          <w:color w:val="4F81BD" w:themeColor="accent1"/>
        </w:rPr>
        <w:t xml:space="preserve"> avis, à la cassation des quatre pourvois qui vont sont soumis, avec comme seule hésitation, devant l’abondance des moyens que vous pouvez retenir ou invoquer d’office, le choix de ceux-ci</w:t>
      </w:r>
      <w:r>
        <w:rPr>
          <w:color w:val="4F81BD" w:themeColor="accent1"/>
        </w:rPr>
        <w:t>. »</w:t>
      </w:r>
    </w:p>
    <w:p w14:paraId="2C7CD8F5" w14:textId="77777777" w:rsidR="00A96DF4" w:rsidRDefault="00A96DF4" w:rsidP="0065212E">
      <w:pPr>
        <w:jc w:val="both"/>
        <w:rPr>
          <w:color w:val="4F81BD" w:themeColor="accent1"/>
        </w:rPr>
      </w:pPr>
    </w:p>
    <w:p w14:paraId="0A441E4F" w14:textId="23E0A5A3" w:rsidR="00075F2D" w:rsidRDefault="00075F2D" w:rsidP="0065212E">
      <w:pPr>
        <w:jc w:val="both"/>
        <w:rPr>
          <w:color w:val="4F81BD" w:themeColor="accent1"/>
        </w:rPr>
      </w:pPr>
      <w:r>
        <w:rPr>
          <w:color w:val="4F81BD" w:themeColor="accent1"/>
        </w:rPr>
        <w:t xml:space="preserve">Les réformes successives, intervenues depuis le début des années 2000, </w:t>
      </w:r>
      <w:r w:rsidR="000B70F4">
        <w:rPr>
          <w:color w:val="4F81BD" w:themeColor="accent1"/>
        </w:rPr>
        <w:t xml:space="preserve">ont contribué à améliorer la situation de </w:t>
      </w:r>
      <w:r w:rsidR="00510289">
        <w:rPr>
          <w:color w:val="4F81BD" w:themeColor="accent1"/>
        </w:rPr>
        <w:t>ces juridictions</w:t>
      </w:r>
      <w:r w:rsidR="003F5C57">
        <w:rPr>
          <w:color w:val="4F81BD" w:themeColor="accent1"/>
        </w:rPr>
        <w:t xml:space="preserve"> au regard des</w:t>
      </w:r>
      <w:r w:rsidR="000152CD">
        <w:rPr>
          <w:color w:val="4F81BD" w:themeColor="accent1"/>
        </w:rPr>
        <w:t xml:space="preserve"> contraintes</w:t>
      </w:r>
      <w:r w:rsidR="00510289">
        <w:rPr>
          <w:color w:val="4F81BD" w:themeColor="accent1"/>
        </w:rPr>
        <w:t xml:space="preserve"> prescrites</w:t>
      </w:r>
      <w:r w:rsidR="00F70017">
        <w:rPr>
          <w:color w:val="4F81BD" w:themeColor="accent1"/>
        </w:rPr>
        <w:t xml:space="preserve"> par la </w:t>
      </w:r>
      <w:r w:rsidR="001F2E84">
        <w:rPr>
          <w:color w:val="4F81BD" w:themeColor="accent1"/>
        </w:rPr>
        <w:t>Convention européenne de sauvegarde des droits de l’Homme</w:t>
      </w:r>
      <w:r w:rsidR="00F70017">
        <w:rPr>
          <w:color w:val="4F81BD" w:themeColor="accent1"/>
        </w:rPr>
        <w:t xml:space="preserve">. </w:t>
      </w:r>
    </w:p>
    <w:p w14:paraId="0F11A6D7" w14:textId="77777777" w:rsidR="00EA26BD" w:rsidRPr="00EA26BD" w:rsidRDefault="00EA26BD" w:rsidP="0065212E">
      <w:pPr>
        <w:jc w:val="both"/>
        <w:rPr>
          <w:color w:val="4F81BD" w:themeColor="accent1"/>
        </w:rPr>
      </w:pPr>
    </w:p>
    <w:p w14:paraId="14233E31" w14:textId="77777777" w:rsidR="007A5062" w:rsidRDefault="001D205B" w:rsidP="0065212E">
      <w:pPr>
        <w:jc w:val="both"/>
      </w:pPr>
      <w:r>
        <w:t xml:space="preserve">VII/ </w:t>
      </w:r>
      <w:r w:rsidR="007A5062">
        <w:t xml:space="preserve">Problématique. </w:t>
      </w:r>
    </w:p>
    <w:p w14:paraId="5C4CD8BB" w14:textId="39BEEFE2" w:rsidR="001D205B" w:rsidRPr="007A5062" w:rsidRDefault="004A36AE" w:rsidP="0065212E">
      <w:pPr>
        <w:jc w:val="both"/>
        <w:rPr>
          <w:color w:val="4F81BD" w:themeColor="accent1"/>
        </w:rPr>
      </w:pPr>
      <w:r w:rsidRPr="007A5062">
        <w:rPr>
          <w:color w:val="4F81BD" w:themeColor="accent1"/>
        </w:rPr>
        <w:t xml:space="preserve">Dans quelle mesure l’article 6 §1 de la </w:t>
      </w:r>
      <w:r w:rsidR="001F2E84">
        <w:rPr>
          <w:color w:val="4F81BD" w:themeColor="accent1"/>
        </w:rPr>
        <w:t>Convention européenne de sauvegarde des droits de l’Homme</w:t>
      </w:r>
      <w:r w:rsidRPr="007A5062">
        <w:rPr>
          <w:color w:val="4F81BD" w:themeColor="accent1"/>
        </w:rPr>
        <w:t xml:space="preserve"> influe t-il sur l’organisation et le fonctionnement du contentieux de la </w:t>
      </w:r>
      <w:r w:rsidR="001F2E84">
        <w:rPr>
          <w:color w:val="4F81BD" w:themeColor="accent1"/>
        </w:rPr>
        <w:t>Sécurité sociale</w:t>
      </w:r>
      <w:r w:rsidRPr="007A5062">
        <w:rPr>
          <w:color w:val="4F81BD" w:themeColor="accent1"/>
        </w:rPr>
        <w:t> ?</w:t>
      </w:r>
    </w:p>
    <w:p w14:paraId="58B46AD2" w14:textId="4914F748" w:rsidR="00D34B48" w:rsidRDefault="00D34B48" w:rsidP="0065212E">
      <w:pPr>
        <w:jc w:val="both"/>
      </w:pPr>
    </w:p>
    <w:p w14:paraId="445F73C0" w14:textId="1B49F9CE" w:rsidR="001817BC" w:rsidRDefault="001817BC" w:rsidP="0065212E">
      <w:pPr>
        <w:jc w:val="both"/>
      </w:pPr>
      <w:r>
        <w:t xml:space="preserve">VIII/ Annonce de plan. </w:t>
      </w:r>
    </w:p>
    <w:p w14:paraId="0150A405" w14:textId="5DFE7347" w:rsidR="00270C8C" w:rsidRDefault="00B606E6" w:rsidP="0065212E">
      <w:pPr>
        <w:jc w:val="both"/>
        <w:rPr>
          <w:color w:val="4F81BD" w:themeColor="accent1"/>
        </w:rPr>
      </w:pPr>
      <w:r w:rsidRPr="00B606E6">
        <w:rPr>
          <w:color w:val="4F81BD" w:themeColor="accent1"/>
        </w:rPr>
        <w:t>Il convient</w:t>
      </w:r>
      <w:r>
        <w:rPr>
          <w:color w:val="4F81BD" w:themeColor="accent1"/>
        </w:rPr>
        <w:t xml:space="preserve"> d’abord de s’interroger sur l’influence qu’a pu avoir l’article 6 §1 de la Convention européenne de sauvegarde des droits de l’Homme et des Libertés fondamentales sur le contentieux </w:t>
      </w:r>
      <w:r w:rsidR="00F9382B">
        <w:rPr>
          <w:color w:val="4F81BD" w:themeColor="accent1"/>
        </w:rPr>
        <w:t>de la Sécurité sociale (I</w:t>
      </w:r>
      <w:r>
        <w:rPr>
          <w:color w:val="4F81BD" w:themeColor="accent1"/>
        </w:rPr>
        <w:t>) avant de se pencher sur les effets qu’on eu les réformes succe</w:t>
      </w:r>
      <w:r w:rsidR="00F9382B">
        <w:rPr>
          <w:color w:val="4F81BD" w:themeColor="accent1"/>
        </w:rPr>
        <w:t xml:space="preserve">ssives entreprises depuis 2002 (II). </w:t>
      </w:r>
    </w:p>
    <w:p w14:paraId="0DA36D52" w14:textId="0EAEE948" w:rsidR="007A5062" w:rsidRDefault="001373FD" w:rsidP="0065212E">
      <w:pPr>
        <w:pStyle w:val="Titre1"/>
        <w:jc w:val="both"/>
      </w:pPr>
      <w:r w:rsidRPr="001373FD">
        <w:t>I/ L</w:t>
      </w:r>
      <w:r>
        <w:t>’influence de l’article 6 §1</w:t>
      </w:r>
      <w:r w:rsidR="00341FCA">
        <w:t xml:space="preserve"> de la </w:t>
      </w:r>
      <w:r w:rsidR="001F2E84">
        <w:t>Convention européenne de sauvegarde des droits de l’Homme</w:t>
      </w:r>
      <w:r w:rsidR="00000C71">
        <w:t xml:space="preserve"> sur</w:t>
      </w:r>
      <w:r w:rsidR="00B606E6">
        <w:t xml:space="preserve"> le c</w:t>
      </w:r>
      <w:r w:rsidR="009F3B1C">
        <w:t xml:space="preserve">ontentieux de la Sécurité sociale. </w:t>
      </w:r>
    </w:p>
    <w:p w14:paraId="6F4F96F1" w14:textId="77777777" w:rsidR="000A5E14" w:rsidRDefault="000A5E14" w:rsidP="0065212E">
      <w:pPr>
        <w:jc w:val="both"/>
      </w:pPr>
    </w:p>
    <w:p w14:paraId="02FA31C9" w14:textId="0FA0770D" w:rsidR="0021067B" w:rsidRPr="00C12F7F" w:rsidRDefault="000D7B12" w:rsidP="0065212E">
      <w:pPr>
        <w:widowControl w:val="0"/>
        <w:autoSpaceDE w:val="0"/>
        <w:autoSpaceDN w:val="0"/>
        <w:adjustRightInd w:val="0"/>
        <w:jc w:val="both"/>
        <w:rPr>
          <w:rFonts w:ascii="Cambria" w:hAnsi="Cambria" w:cs="Times New Roman"/>
          <w:color w:val="4F81BD" w:themeColor="accent1"/>
        </w:rPr>
      </w:pPr>
      <w:r w:rsidRPr="00C12F7F">
        <w:rPr>
          <w:rFonts w:ascii="Cambria" w:hAnsi="Cambria" w:cs="Times New Roman"/>
          <w:color w:val="4F81BD" w:themeColor="accent1"/>
        </w:rPr>
        <w:t xml:space="preserve">Depuis l'arrêt </w:t>
      </w:r>
      <w:r w:rsidRPr="00C12F7F">
        <w:rPr>
          <w:rFonts w:ascii="Cambria" w:hAnsi="Cambria" w:cs="Times New Roman"/>
          <w:color w:val="4F81BD" w:themeColor="accent1"/>
          <w:u w:val="single"/>
        </w:rPr>
        <w:t>Jacques Vabre</w:t>
      </w:r>
      <w:r w:rsidR="0021067B" w:rsidRPr="00C12F7F">
        <w:rPr>
          <w:rFonts w:ascii="Cambria" w:hAnsi="Cambria" w:cs="Times New Roman"/>
          <w:color w:val="4F81BD" w:themeColor="accent1"/>
        </w:rPr>
        <w:t xml:space="preserve"> rendu le 24 mai 1975 en </w:t>
      </w:r>
      <w:r w:rsidR="00BA1BDA">
        <w:rPr>
          <w:rFonts w:ascii="Cambria" w:hAnsi="Cambria" w:cs="Times New Roman"/>
          <w:color w:val="4F81BD" w:themeColor="accent1"/>
        </w:rPr>
        <w:t>C</w:t>
      </w:r>
      <w:r w:rsidR="0021067B" w:rsidRPr="00C12F7F">
        <w:rPr>
          <w:rFonts w:ascii="Cambria" w:hAnsi="Cambria" w:cs="Times New Roman"/>
          <w:color w:val="4F81BD" w:themeColor="accent1"/>
        </w:rPr>
        <w:t xml:space="preserve">hambre mixte, la Cour de cassation accepte de faire une application directe en droit interne de la </w:t>
      </w:r>
      <w:r w:rsidR="001F2E84">
        <w:rPr>
          <w:rFonts w:ascii="Cambria" w:hAnsi="Cambria" w:cs="Times New Roman"/>
          <w:color w:val="4F81BD" w:themeColor="accent1"/>
        </w:rPr>
        <w:t>Convention européenne de sauvegarde des droits de l’Homme</w:t>
      </w:r>
      <w:r w:rsidR="0021067B" w:rsidRPr="00C12F7F">
        <w:rPr>
          <w:rFonts w:ascii="Cambria" w:hAnsi="Cambria" w:cs="Times New Roman"/>
          <w:color w:val="4F81BD" w:themeColor="accent1"/>
        </w:rPr>
        <w:t>. Ainsi</w:t>
      </w:r>
      <w:r w:rsidR="00BA1BDA">
        <w:rPr>
          <w:rFonts w:ascii="Cambria" w:hAnsi="Cambria" w:cs="Times New Roman"/>
          <w:color w:val="4F81BD" w:themeColor="accent1"/>
        </w:rPr>
        <w:t>,</w:t>
      </w:r>
      <w:r w:rsidR="0021067B" w:rsidRPr="00C12F7F">
        <w:rPr>
          <w:rFonts w:ascii="Cambria" w:hAnsi="Cambria" w:cs="Times New Roman"/>
          <w:color w:val="4F81BD" w:themeColor="accent1"/>
        </w:rPr>
        <w:t xml:space="preserve"> la Cour de cassation a opéré comme on le lui a demandé un contrôle du droit interne par rapport à la </w:t>
      </w:r>
      <w:r w:rsidR="001F2E84">
        <w:rPr>
          <w:rFonts w:ascii="Cambria" w:hAnsi="Cambria" w:cs="Times New Roman"/>
          <w:color w:val="4F81BD" w:themeColor="accent1"/>
        </w:rPr>
        <w:t>Convention européenne de sauvegarde des droits de l’Homme</w:t>
      </w:r>
      <w:r w:rsidR="00BA1BDA">
        <w:rPr>
          <w:rFonts w:ascii="Cambria" w:hAnsi="Cambria" w:cs="Times New Roman"/>
          <w:color w:val="4F81BD" w:themeColor="accent1"/>
        </w:rPr>
        <w:t xml:space="preserve"> et not</w:t>
      </w:r>
      <w:r w:rsidR="0021067B" w:rsidRPr="00C12F7F">
        <w:rPr>
          <w:rFonts w:ascii="Cambria" w:hAnsi="Cambria" w:cs="Times New Roman"/>
          <w:color w:val="4F81BD" w:themeColor="accent1"/>
        </w:rPr>
        <w:t>am</w:t>
      </w:r>
      <w:r w:rsidR="00BA1BDA">
        <w:rPr>
          <w:rFonts w:ascii="Cambria" w:hAnsi="Cambria" w:cs="Times New Roman"/>
          <w:color w:val="4F81BD" w:themeColor="accent1"/>
        </w:rPr>
        <w:t>m</w:t>
      </w:r>
      <w:r w:rsidR="0021067B" w:rsidRPr="00C12F7F">
        <w:rPr>
          <w:rFonts w:ascii="Cambria" w:hAnsi="Cambria" w:cs="Times New Roman"/>
          <w:color w:val="4F81BD" w:themeColor="accent1"/>
        </w:rPr>
        <w:t xml:space="preserve">ent </w:t>
      </w:r>
      <w:r w:rsidR="00BA1BDA">
        <w:rPr>
          <w:rFonts w:ascii="Cambria" w:hAnsi="Cambria" w:cs="Times New Roman"/>
          <w:color w:val="4F81BD" w:themeColor="accent1"/>
        </w:rPr>
        <w:t xml:space="preserve">par rapport </w:t>
      </w:r>
      <w:r w:rsidR="0021067B" w:rsidRPr="00C12F7F">
        <w:rPr>
          <w:rFonts w:ascii="Cambria" w:hAnsi="Cambria" w:cs="Times New Roman"/>
          <w:color w:val="4F81BD" w:themeColor="accent1"/>
        </w:rPr>
        <w:t xml:space="preserve">à son article 6§1. </w:t>
      </w:r>
    </w:p>
    <w:p w14:paraId="5354AEEE" w14:textId="77777777" w:rsidR="0021067B" w:rsidRPr="00C12F7F" w:rsidRDefault="0021067B" w:rsidP="0065212E">
      <w:pPr>
        <w:widowControl w:val="0"/>
        <w:autoSpaceDE w:val="0"/>
        <w:autoSpaceDN w:val="0"/>
        <w:adjustRightInd w:val="0"/>
        <w:jc w:val="both"/>
        <w:rPr>
          <w:rFonts w:ascii="Cambria" w:hAnsi="Cambria" w:cs="Times New Roman"/>
          <w:color w:val="4F81BD" w:themeColor="accent1"/>
        </w:rPr>
      </w:pPr>
    </w:p>
    <w:p w14:paraId="72C7C22B" w14:textId="25052F1F" w:rsidR="0021067B" w:rsidRPr="00C12F7F" w:rsidRDefault="0021067B" w:rsidP="0065212E">
      <w:pPr>
        <w:widowControl w:val="0"/>
        <w:autoSpaceDE w:val="0"/>
        <w:autoSpaceDN w:val="0"/>
        <w:adjustRightInd w:val="0"/>
        <w:jc w:val="both"/>
        <w:rPr>
          <w:rFonts w:ascii="Cambria" w:hAnsi="Cambria" w:cs="Times New Roman"/>
          <w:color w:val="4F81BD" w:themeColor="accent1"/>
        </w:rPr>
      </w:pPr>
      <w:r w:rsidRPr="00C12F7F">
        <w:rPr>
          <w:rFonts w:ascii="Cambria" w:hAnsi="Cambria" w:cs="Times New Roman"/>
          <w:color w:val="4F81BD" w:themeColor="accent1"/>
        </w:rPr>
        <w:t xml:space="preserve">L'article 6 §1 de la </w:t>
      </w:r>
      <w:r w:rsidR="001F2E84">
        <w:rPr>
          <w:rFonts w:ascii="Cambria" w:hAnsi="Cambria" w:cs="Times New Roman"/>
          <w:color w:val="4F81BD" w:themeColor="accent1"/>
        </w:rPr>
        <w:t>Convention européenne de sauvegarde des droits de l’Homme</w:t>
      </w:r>
      <w:r w:rsidRPr="00C12F7F">
        <w:rPr>
          <w:rFonts w:ascii="Cambria" w:hAnsi="Cambria" w:cs="Times New Roman"/>
          <w:color w:val="4F81BD" w:themeColor="accent1"/>
        </w:rPr>
        <w:t xml:space="preserve"> dispose que «</w:t>
      </w:r>
      <w:r w:rsidRPr="00C12F7F">
        <w:rPr>
          <w:rFonts w:ascii="Cambria" w:hAnsi="Cambria" w:cs="Times New Roman"/>
          <w:i/>
          <w:iCs/>
          <w:color w:val="4F81BD" w:themeColor="accent1"/>
        </w:rPr>
        <w:t> </w:t>
      </w:r>
      <w:r w:rsidR="00C40494">
        <w:rPr>
          <w:rFonts w:ascii="Cambria" w:hAnsi="Cambria" w:cs="Times New Roman"/>
          <w:i/>
          <w:iCs/>
          <w:color w:val="4F81BD" w:themeColor="accent1"/>
        </w:rPr>
        <w:t>T</w:t>
      </w:r>
      <w:r w:rsidRPr="00C12F7F">
        <w:rPr>
          <w:rFonts w:ascii="Cambria" w:hAnsi="Cambria" w:cs="Times New Roman"/>
          <w:i/>
          <w:iCs/>
          <w:color w:val="4F81BD" w:themeColor="accent1"/>
        </w:rPr>
        <w:t>oute personne a droit à ce que sa cause soit entendue</w:t>
      </w:r>
      <w:r w:rsidR="00C40494">
        <w:rPr>
          <w:rFonts w:ascii="Cambria" w:hAnsi="Cambria" w:cs="Times New Roman"/>
          <w:i/>
          <w:iCs/>
          <w:color w:val="4F81BD" w:themeColor="accent1"/>
        </w:rPr>
        <w:t xml:space="preserve"> </w:t>
      </w:r>
      <w:r w:rsidR="00C40494" w:rsidRPr="00C40494">
        <w:rPr>
          <w:rFonts w:ascii="Cambria" w:hAnsi="Cambria" w:cs="Times New Roman"/>
          <w:iCs/>
          <w:color w:val="4F81BD" w:themeColor="accent1"/>
        </w:rPr>
        <w:t>(</w:t>
      </w:r>
      <w:r w:rsidRPr="00C40494">
        <w:rPr>
          <w:rFonts w:ascii="Cambria" w:hAnsi="Cambria" w:cs="Times New Roman"/>
          <w:iCs/>
          <w:color w:val="4F81BD" w:themeColor="accent1"/>
        </w:rPr>
        <w:t>...</w:t>
      </w:r>
      <w:r w:rsidR="00C40494" w:rsidRPr="00C40494">
        <w:rPr>
          <w:rFonts w:ascii="Cambria" w:hAnsi="Cambria" w:cs="Times New Roman"/>
          <w:iCs/>
          <w:color w:val="4F81BD" w:themeColor="accent1"/>
        </w:rPr>
        <w:t>)</w:t>
      </w:r>
      <w:r w:rsidRPr="00C12F7F">
        <w:rPr>
          <w:rFonts w:ascii="Cambria" w:hAnsi="Cambria" w:cs="Times New Roman"/>
          <w:i/>
          <w:iCs/>
          <w:color w:val="4F81BD" w:themeColor="accent1"/>
        </w:rPr>
        <w:t xml:space="preserve"> par un tribunal indépendant et impartial </w:t>
      </w:r>
      <w:r w:rsidRPr="00C40494">
        <w:rPr>
          <w:rFonts w:ascii="Cambria" w:hAnsi="Cambria" w:cs="Times New Roman"/>
          <w:iCs/>
          <w:color w:val="4F81BD" w:themeColor="accent1"/>
        </w:rPr>
        <w:t>(...)</w:t>
      </w:r>
      <w:r w:rsidRPr="00C12F7F">
        <w:rPr>
          <w:rFonts w:ascii="Cambria" w:hAnsi="Cambria" w:cs="Times New Roman"/>
          <w:i/>
          <w:iCs/>
          <w:color w:val="4F81BD" w:themeColor="accent1"/>
        </w:rPr>
        <w:t xml:space="preserve"> qui décidera </w:t>
      </w:r>
      <w:r w:rsidRPr="00C40494">
        <w:rPr>
          <w:rFonts w:ascii="Cambria" w:hAnsi="Cambria" w:cs="Times New Roman"/>
          <w:iCs/>
          <w:color w:val="4F81BD" w:themeColor="accent1"/>
        </w:rPr>
        <w:t>(...)</w:t>
      </w:r>
      <w:r w:rsidRPr="00C12F7F">
        <w:rPr>
          <w:rFonts w:ascii="Cambria" w:hAnsi="Cambria" w:cs="Times New Roman"/>
          <w:i/>
          <w:iCs/>
          <w:color w:val="4F81BD" w:themeColor="accent1"/>
        </w:rPr>
        <w:t xml:space="preserve"> des contestations sur ses droits et obligations de caractère civil</w:t>
      </w:r>
      <w:r w:rsidR="00C40494">
        <w:rPr>
          <w:rFonts w:ascii="Cambria" w:hAnsi="Cambria" w:cs="Times New Roman"/>
          <w:i/>
          <w:iCs/>
          <w:color w:val="4F81BD" w:themeColor="accent1"/>
        </w:rPr>
        <w:t xml:space="preserve"> </w:t>
      </w:r>
      <w:r w:rsidR="00C40494" w:rsidRPr="00C40494">
        <w:rPr>
          <w:rFonts w:ascii="Cambria" w:hAnsi="Cambria" w:cs="Times New Roman"/>
          <w:iCs/>
          <w:color w:val="4F81BD" w:themeColor="accent1"/>
        </w:rPr>
        <w:t>(</w:t>
      </w:r>
      <w:r w:rsidRPr="00C40494">
        <w:rPr>
          <w:rFonts w:ascii="Cambria" w:hAnsi="Cambria" w:cs="Times New Roman"/>
          <w:iCs/>
          <w:color w:val="4F81BD" w:themeColor="accent1"/>
        </w:rPr>
        <w:t>...</w:t>
      </w:r>
      <w:r w:rsidR="00C40494" w:rsidRPr="00C40494">
        <w:rPr>
          <w:rFonts w:ascii="Cambria" w:hAnsi="Cambria" w:cs="Times New Roman"/>
          <w:iCs/>
          <w:color w:val="4F81BD" w:themeColor="accent1"/>
        </w:rPr>
        <w:t>)</w:t>
      </w:r>
      <w:r w:rsidRPr="00C12F7F">
        <w:rPr>
          <w:rFonts w:ascii="Cambria" w:hAnsi="Cambria" w:cs="Times New Roman"/>
          <w:i/>
          <w:iCs/>
          <w:color w:val="4F81BD" w:themeColor="accent1"/>
        </w:rPr>
        <w:t> </w:t>
      </w:r>
      <w:r w:rsidRPr="00C12F7F">
        <w:rPr>
          <w:rFonts w:ascii="Cambria" w:hAnsi="Cambria" w:cs="Times New Roman"/>
          <w:color w:val="4F81BD" w:themeColor="accent1"/>
        </w:rPr>
        <w:t>».</w:t>
      </w:r>
    </w:p>
    <w:p w14:paraId="7470D711" w14:textId="7964E22A" w:rsidR="0021067B" w:rsidRPr="00C12F7F" w:rsidRDefault="0021067B" w:rsidP="0065212E">
      <w:pPr>
        <w:widowControl w:val="0"/>
        <w:autoSpaceDE w:val="0"/>
        <w:autoSpaceDN w:val="0"/>
        <w:adjustRightInd w:val="0"/>
        <w:jc w:val="both"/>
        <w:rPr>
          <w:rFonts w:ascii="Cambria" w:hAnsi="Cambria" w:cs="Times New Roman"/>
          <w:color w:val="4F81BD" w:themeColor="accent1"/>
        </w:rPr>
      </w:pPr>
      <w:r w:rsidRPr="00C12F7F">
        <w:rPr>
          <w:rFonts w:ascii="Cambria" w:hAnsi="Cambria" w:cs="Times New Roman"/>
          <w:color w:val="4F81BD" w:themeColor="accent1"/>
        </w:rPr>
        <w:t xml:space="preserve">Comme nous l'avons vu dans l'introduction, le contentieux de la </w:t>
      </w:r>
      <w:r w:rsidR="001D3502">
        <w:rPr>
          <w:rFonts w:ascii="Cambria" w:hAnsi="Cambria" w:cs="Times New Roman"/>
          <w:color w:val="4F81BD" w:themeColor="accent1"/>
        </w:rPr>
        <w:t>S</w:t>
      </w:r>
      <w:r w:rsidRPr="00C12F7F">
        <w:rPr>
          <w:rFonts w:ascii="Cambria" w:hAnsi="Cambria" w:cs="Times New Roman"/>
          <w:color w:val="4F81BD" w:themeColor="accent1"/>
        </w:rPr>
        <w:t>écurité sociale entre bien dans le champ d'application de l'article 6</w:t>
      </w:r>
      <w:r w:rsidR="0091183C">
        <w:rPr>
          <w:rFonts w:ascii="Cambria" w:hAnsi="Cambria" w:cs="Times New Roman"/>
          <w:color w:val="4F81BD" w:themeColor="accent1"/>
        </w:rPr>
        <w:t xml:space="preserve"> §</w:t>
      </w:r>
      <w:r w:rsidRPr="00C12F7F">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Pr="00C12F7F">
        <w:rPr>
          <w:rFonts w:ascii="Cambria" w:hAnsi="Cambria" w:cs="Times New Roman"/>
          <w:color w:val="4F81BD" w:themeColor="accent1"/>
        </w:rPr>
        <w:t xml:space="preserve">. Pourtant, </w:t>
      </w:r>
      <w:r w:rsidR="007C0B7D">
        <w:rPr>
          <w:rFonts w:ascii="Cambria" w:hAnsi="Cambria" w:cs="Times New Roman"/>
          <w:color w:val="4F81BD" w:themeColor="accent1"/>
        </w:rPr>
        <w:t>à</w:t>
      </w:r>
      <w:r w:rsidRPr="00C12F7F">
        <w:rPr>
          <w:rFonts w:ascii="Cambria" w:hAnsi="Cambria" w:cs="Times New Roman"/>
          <w:color w:val="4F81BD" w:themeColor="accent1"/>
        </w:rPr>
        <w:t xml:space="preserve"> bien des égards, le contentieux technique de la </w:t>
      </w:r>
      <w:r w:rsidR="007C0B7D">
        <w:rPr>
          <w:rFonts w:ascii="Cambria" w:hAnsi="Cambria" w:cs="Times New Roman"/>
          <w:color w:val="4F81BD" w:themeColor="accent1"/>
        </w:rPr>
        <w:t>S</w:t>
      </w:r>
      <w:r w:rsidRPr="00C12F7F">
        <w:rPr>
          <w:rFonts w:ascii="Cambria" w:hAnsi="Cambria" w:cs="Times New Roman"/>
          <w:color w:val="4F81BD" w:themeColor="accent1"/>
        </w:rPr>
        <w:t>écurité sociale a pendant longtemps méconnu les exigences processuelles posées par l'article 6</w:t>
      </w:r>
      <w:r w:rsidR="007C0B7D">
        <w:rPr>
          <w:rFonts w:ascii="Cambria" w:hAnsi="Cambria" w:cs="Times New Roman"/>
          <w:color w:val="4F81BD" w:themeColor="accent1"/>
        </w:rPr>
        <w:t xml:space="preserve"> §</w:t>
      </w:r>
      <w:r w:rsidRPr="00C12F7F">
        <w:rPr>
          <w:rFonts w:ascii="Cambria" w:hAnsi="Cambria" w:cs="Times New Roman"/>
          <w:color w:val="4F81BD" w:themeColor="accent1"/>
        </w:rPr>
        <w:t xml:space="preserve">1. </w:t>
      </w:r>
    </w:p>
    <w:p w14:paraId="27F7934D" w14:textId="77777777" w:rsidR="0021067B" w:rsidRPr="00C12F7F" w:rsidRDefault="0021067B" w:rsidP="0065212E">
      <w:pPr>
        <w:widowControl w:val="0"/>
        <w:autoSpaceDE w:val="0"/>
        <w:autoSpaceDN w:val="0"/>
        <w:adjustRightInd w:val="0"/>
        <w:jc w:val="both"/>
        <w:rPr>
          <w:rFonts w:ascii="Cambria" w:hAnsi="Cambria" w:cs="Times New Roman"/>
          <w:color w:val="4F81BD" w:themeColor="accent1"/>
        </w:rPr>
      </w:pPr>
    </w:p>
    <w:p w14:paraId="0562F5B6" w14:textId="5F091984" w:rsidR="0021067B" w:rsidRDefault="0021067B" w:rsidP="0065212E">
      <w:pPr>
        <w:widowControl w:val="0"/>
        <w:autoSpaceDE w:val="0"/>
        <w:autoSpaceDN w:val="0"/>
        <w:adjustRightInd w:val="0"/>
        <w:jc w:val="both"/>
        <w:rPr>
          <w:rFonts w:ascii="Cambria" w:hAnsi="Cambria" w:cs="Times New Roman"/>
          <w:color w:val="4F81BD" w:themeColor="accent1"/>
        </w:rPr>
      </w:pPr>
      <w:r w:rsidRPr="00C12F7F">
        <w:rPr>
          <w:rFonts w:ascii="Cambria" w:hAnsi="Cambria" w:cs="Times New Roman"/>
          <w:color w:val="4F81BD" w:themeColor="accent1"/>
        </w:rPr>
        <w:t xml:space="preserve">La Cour de cassation a mis l'accent sur ce problème dans divers arrêts et a ainsi reconnu que les </w:t>
      </w:r>
      <w:r w:rsidR="009265E3">
        <w:rPr>
          <w:rFonts w:ascii="Cambria" w:hAnsi="Cambria" w:cs="Times New Roman"/>
          <w:color w:val="4F81BD" w:themeColor="accent1"/>
        </w:rPr>
        <w:t xml:space="preserve">TCI </w:t>
      </w:r>
      <w:r w:rsidRPr="00C12F7F">
        <w:rPr>
          <w:rFonts w:ascii="Cambria" w:hAnsi="Cambria" w:cs="Times New Roman"/>
          <w:color w:val="4F81BD" w:themeColor="accent1"/>
        </w:rPr>
        <w:t>et l</w:t>
      </w:r>
      <w:r w:rsidR="009265E3">
        <w:rPr>
          <w:rFonts w:ascii="Cambria" w:hAnsi="Cambria" w:cs="Times New Roman"/>
          <w:color w:val="4F81BD" w:themeColor="accent1"/>
        </w:rPr>
        <w:t>a</w:t>
      </w:r>
      <w:r w:rsidRPr="00C12F7F">
        <w:rPr>
          <w:rFonts w:ascii="Cambria" w:hAnsi="Cambria" w:cs="Times New Roman"/>
          <w:color w:val="4F81BD" w:themeColor="accent1"/>
        </w:rPr>
        <w:t xml:space="preserve"> CNITAT n'étaient pas conformes aux exigences d'indépendance et d'impartialité formulées dans l'article 6 §1. </w:t>
      </w:r>
    </w:p>
    <w:p w14:paraId="3A43E9E7" w14:textId="70EDD31E" w:rsidR="00E17A0E" w:rsidRDefault="00E17A0E" w:rsidP="0065212E">
      <w:pPr>
        <w:pStyle w:val="Titre2"/>
        <w:jc w:val="both"/>
      </w:pPr>
      <w:r>
        <w:t xml:space="preserve">A/ Un manquement au principe d’indépendance et d’impartialité. </w:t>
      </w:r>
    </w:p>
    <w:p w14:paraId="6EC92114" w14:textId="77777777" w:rsidR="00E17A0E" w:rsidRDefault="00E17A0E" w:rsidP="0065212E">
      <w:pPr>
        <w:jc w:val="both"/>
      </w:pPr>
    </w:p>
    <w:p w14:paraId="47AB33E3" w14:textId="1FBC345A" w:rsidR="007F1E1C" w:rsidRPr="007F1E1C" w:rsidRDefault="007F1E1C" w:rsidP="0065212E">
      <w:pPr>
        <w:widowControl w:val="0"/>
        <w:autoSpaceDE w:val="0"/>
        <w:autoSpaceDN w:val="0"/>
        <w:adjustRightInd w:val="0"/>
        <w:jc w:val="both"/>
        <w:rPr>
          <w:rFonts w:ascii="Cambria" w:hAnsi="Cambria" w:cs="Times New Roman"/>
          <w:color w:val="4F81BD" w:themeColor="accent1"/>
        </w:rPr>
      </w:pPr>
      <w:r w:rsidRPr="007F1E1C">
        <w:rPr>
          <w:rFonts w:ascii="Cambria" w:hAnsi="Cambria" w:cs="Times New Roman"/>
          <w:color w:val="4F81BD" w:themeColor="accent1"/>
        </w:rPr>
        <w:t>La double condition d'indépendance et d'impartialité exig</w:t>
      </w:r>
      <w:r w:rsidR="00CD4D4E">
        <w:rPr>
          <w:rFonts w:ascii="Cambria" w:hAnsi="Cambria" w:cs="Times New Roman"/>
          <w:color w:val="4F81BD" w:themeColor="accent1"/>
        </w:rPr>
        <w:t>ée expressément par l'article 6 §</w:t>
      </w:r>
      <w:r w:rsidRPr="007F1E1C">
        <w:rPr>
          <w:rFonts w:ascii="Cambria" w:hAnsi="Cambria" w:cs="Times New Roman"/>
          <w:color w:val="4F81BD" w:themeColor="accent1"/>
        </w:rPr>
        <w:t>1 constitue une garantie fondamentale du fonctionnement de la justice dans une démocratie. C'est pourquoi la CEDH a de nombreuses fois dans sa jurisprudence</w:t>
      </w:r>
      <w:r w:rsidR="0065212E">
        <w:rPr>
          <w:rFonts w:ascii="Cambria" w:hAnsi="Cambria" w:cs="Times New Roman"/>
          <w:color w:val="4F81BD" w:themeColor="accent1"/>
        </w:rPr>
        <w:t>,</w:t>
      </w:r>
      <w:r w:rsidRPr="007F1E1C">
        <w:rPr>
          <w:rFonts w:ascii="Cambria" w:hAnsi="Cambria" w:cs="Times New Roman"/>
          <w:color w:val="4F81BD" w:themeColor="accent1"/>
        </w:rPr>
        <w:t xml:space="preserve"> et notam</w:t>
      </w:r>
      <w:r w:rsidR="0065212E">
        <w:rPr>
          <w:rFonts w:ascii="Cambria" w:hAnsi="Cambria" w:cs="Times New Roman"/>
          <w:color w:val="4F81BD" w:themeColor="accent1"/>
        </w:rPr>
        <w:t>m</w:t>
      </w:r>
      <w:r w:rsidRPr="007F1E1C">
        <w:rPr>
          <w:rFonts w:ascii="Cambria" w:hAnsi="Cambria" w:cs="Times New Roman"/>
          <w:color w:val="4F81BD" w:themeColor="accent1"/>
        </w:rPr>
        <w:t xml:space="preserve">ent </w:t>
      </w:r>
      <w:r w:rsidR="0065212E">
        <w:rPr>
          <w:rFonts w:ascii="Cambria" w:hAnsi="Cambria" w:cs="Times New Roman"/>
          <w:color w:val="4F81BD" w:themeColor="accent1"/>
        </w:rPr>
        <w:t xml:space="preserve">dans une décision </w:t>
      </w:r>
      <w:r w:rsidR="0065212E">
        <w:rPr>
          <w:rFonts w:ascii="Cambria" w:hAnsi="Cambria" w:cs="Times New Roman"/>
          <w:color w:val="4F81BD" w:themeColor="accent1"/>
          <w:u w:val="single"/>
        </w:rPr>
        <w:t xml:space="preserve">Rempli c/ </w:t>
      </w:r>
      <w:r w:rsidR="0065212E" w:rsidRPr="0065212E">
        <w:rPr>
          <w:rFonts w:ascii="Cambria" w:hAnsi="Cambria" w:cs="Times New Roman"/>
          <w:color w:val="4F81BD" w:themeColor="accent1"/>
          <w:u w:val="single"/>
        </w:rPr>
        <w:t>France</w:t>
      </w:r>
      <w:r w:rsidR="0065212E">
        <w:rPr>
          <w:rFonts w:ascii="Cambria" w:hAnsi="Cambria" w:cs="Times New Roman"/>
          <w:color w:val="4F81BD" w:themeColor="accent1"/>
        </w:rPr>
        <w:t xml:space="preserve"> du</w:t>
      </w:r>
      <w:r w:rsidRPr="007F1E1C">
        <w:rPr>
          <w:rFonts w:ascii="Cambria" w:hAnsi="Cambria" w:cs="Times New Roman"/>
          <w:color w:val="4F81BD" w:themeColor="accent1"/>
        </w:rPr>
        <w:t xml:space="preserve"> 23 avril 1996 mis l'accent sur « </w:t>
      </w:r>
      <w:r w:rsidRPr="007F1E1C">
        <w:rPr>
          <w:rFonts w:ascii="Cambria" w:hAnsi="Cambria" w:cs="Times New Roman"/>
          <w:i/>
          <w:iCs/>
          <w:color w:val="4F81BD" w:themeColor="accent1"/>
        </w:rPr>
        <w:t>la confiance que les tribunaux d'une société démocratique se doivent d'inspirer aux justiciables </w:t>
      </w:r>
      <w:r w:rsidRPr="007F1E1C">
        <w:rPr>
          <w:rFonts w:ascii="Cambria" w:hAnsi="Cambria" w:cs="Times New Roman"/>
          <w:color w:val="4F81BD" w:themeColor="accent1"/>
        </w:rPr>
        <w:t>».</w:t>
      </w:r>
    </w:p>
    <w:p w14:paraId="6E8EC870" w14:textId="77777777" w:rsidR="00292343" w:rsidRDefault="00292343" w:rsidP="0065212E">
      <w:pPr>
        <w:widowControl w:val="0"/>
        <w:autoSpaceDE w:val="0"/>
        <w:autoSpaceDN w:val="0"/>
        <w:adjustRightInd w:val="0"/>
        <w:jc w:val="both"/>
        <w:rPr>
          <w:rFonts w:ascii="Cambria" w:hAnsi="Cambria" w:cs="Times New Roman"/>
          <w:color w:val="4F81BD" w:themeColor="accent1"/>
        </w:rPr>
      </w:pPr>
    </w:p>
    <w:p w14:paraId="4EDAB98A" w14:textId="77777777" w:rsidR="00534BDA" w:rsidRDefault="007F1E1C" w:rsidP="0065212E">
      <w:pPr>
        <w:widowControl w:val="0"/>
        <w:autoSpaceDE w:val="0"/>
        <w:autoSpaceDN w:val="0"/>
        <w:adjustRightInd w:val="0"/>
        <w:jc w:val="both"/>
        <w:rPr>
          <w:rFonts w:ascii="Cambria" w:hAnsi="Cambria" w:cs="Times New Roman"/>
          <w:color w:val="4F81BD" w:themeColor="accent1"/>
        </w:rPr>
      </w:pPr>
      <w:r w:rsidRPr="007F1E1C">
        <w:rPr>
          <w:rFonts w:ascii="Cambria" w:hAnsi="Cambria" w:cs="Times New Roman"/>
          <w:color w:val="4F81BD" w:themeColor="accent1"/>
        </w:rPr>
        <w:t>La CEDH a développé deux théories</w:t>
      </w:r>
      <w:r w:rsidR="00B14005">
        <w:rPr>
          <w:rFonts w:ascii="Cambria" w:hAnsi="Cambria" w:cs="Times New Roman"/>
          <w:color w:val="4F81BD" w:themeColor="accent1"/>
        </w:rPr>
        <w:t xml:space="preserve"> : </w:t>
      </w:r>
      <w:r w:rsidRPr="007F1E1C">
        <w:rPr>
          <w:rFonts w:ascii="Cambria" w:hAnsi="Cambria" w:cs="Times New Roman"/>
          <w:color w:val="4F81BD" w:themeColor="accent1"/>
        </w:rPr>
        <w:t xml:space="preserve">celle de l'apparence d'indépendance et celle de l'impartialité objective. </w:t>
      </w:r>
    </w:p>
    <w:p w14:paraId="1C7F3DBA" w14:textId="77777777" w:rsidR="00CC4029" w:rsidRDefault="007F1E1C" w:rsidP="0065212E">
      <w:pPr>
        <w:widowControl w:val="0"/>
        <w:autoSpaceDE w:val="0"/>
        <w:autoSpaceDN w:val="0"/>
        <w:adjustRightInd w:val="0"/>
        <w:jc w:val="both"/>
        <w:rPr>
          <w:rFonts w:ascii="Cambria" w:hAnsi="Cambria" w:cs="Times New Roman"/>
          <w:color w:val="4F81BD" w:themeColor="accent1"/>
        </w:rPr>
      </w:pPr>
      <w:r w:rsidRPr="007F1E1C">
        <w:rPr>
          <w:rFonts w:ascii="Cambria" w:hAnsi="Cambria" w:cs="Times New Roman"/>
          <w:color w:val="4F81BD" w:themeColor="accent1"/>
        </w:rPr>
        <w:t>Dans la première</w:t>
      </w:r>
      <w:r w:rsidR="00534BDA">
        <w:rPr>
          <w:rFonts w:ascii="Cambria" w:hAnsi="Cambria" w:cs="Times New Roman"/>
          <w:color w:val="4F81BD" w:themeColor="accent1"/>
        </w:rPr>
        <w:t>,</w:t>
      </w:r>
      <w:r w:rsidRPr="007F1E1C">
        <w:rPr>
          <w:rFonts w:ascii="Cambria" w:hAnsi="Cambria" w:cs="Times New Roman"/>
          <w:color w:val="4F81BD" w:themeColor="accent1"/>
        </w:rPr>
        <w:t xml:space="preserve"> elle apprécie le caractère indépendant d'un tribunal en se fondant</w:t>
      </w:r>
      <w:r w:rsidR="00534BDA">
        <w:rPr>
          <w:rFonts w:ascii="Cambria" w:hAnsi="Cambria" w:cs="Times New Roman"/>
          <w:color w:val="4F81BD" w:themeColor="accent1"/>
        </w:rPr>
        <w:t>,</w:t>
      </w:r>
      <w:r w:rsidRPr="007F1E1C">
        <w:rPr>
          <w:rFonts w:ascii="Cambria" w:hAnsi="Cambria" w:cs="Times New Roman"/>
          <w:color w:val="4F81BD" w:themeColor="accent1"/>
        </w:rPr>
        <w:t xml:space="preserve"> d'une part</w:t>
      </w:r>
      <w:r w:rsidR="00534BDA">
        <w:rPr>
          <w:rFonts w:ascii="Cambria" w:hAnsi="Cambria" w:cs="Times New Roman"/>
          <w:color w:val="4F81BD" w:themeColor="accent1"/>
        </w:rPr>
        <w:t>,</w:t>
      </w:r>
      <w:r w:rsidRPr="007F1E1C">
        <w:rPr>
          <w:rFonts w:ascii="Cambria" w:hAnsi="Cambria" w:cs="Times New Roman"/>
          <w:color w:val="4F81BD" w:themeColor="accent1"/>
        </w:rPr>
        <w:t xml:space="preserve"> sur des considérations objectives telles que le mode de désignation et la durée du mandat de ses membres, l'existence d'une protection contre les pressions extérieur</w:t>
      </w:r>
      <w:r w:rsidR="00744F3C">
        <w:rPr>
          <w:rFonts w:ascii="Cambria" w:hAnsi="Cambria" w:cs="Times New Roman"/>
          <w:color w:val="4F81BD" w:themeColor="accent1"/>
        </w:rPr>
        <w:t>e</w:t>
      </w:r>
      <w:r w:rsidRPr="007F1E1C">
        <w:rPr>
          <w:rFonts w:ascii="Cambria" w:hAnsi="Cambria" w:cs="Times New Roman"/>
          <w:color w:val="4F81BD" w:themeColor="accent1"/>
        </w:rPr>
        <w:t>s et</w:t>
      </w:r>
      <w:r w:rsidR="00534BDA">
        <w:rPr>
          <w:rFonts w:ascii="Cambria" w:hAnsi="Cambria" w:cs="Times New Roman"/>
          <w:color w:val="4F81BD" w:themeColor="accent1"/>
        </w:rPr>
        <w:t>,</w:t>
      </w:r>
      <w:r w:rsidRPr="007F1E1C">
        <w:rPr>
          <w:rFonts w:ascii="Cambria" w:hAnsi="Cambria" w:cs="Times New Roman"/>
          <w:color w:val="4F81BD" w:themeColor="accent1"/>
        </w:rPr>
        <w:t xml:space="preserve"> d'autre part</w:t>
      </w:r>
      <w:r w:rsidR="00534BDA">
        <w:rPr>
          <w:rFonts w:ascii="Cambria" w:hAnsi="Cambria" w:cs="Times New Roman"/>
          <w:color w:val="4F81BD" w:themeColor="accent1"/>
        </w:rPr>
        <w:t>,</w:t>
      </w:r>
      <w:r w:rsidRPr="007F1E1C">
        <w:rPr>
          <w:rFonts w:ascii="Cambria" w:hAnsi="Cambria" w:cs="Times New Roman"/>
          <w:color w:val="4F81BD" w:themeColor="accent1"/>
        </w:rPr>
        <w:t xml:space="preserve"> sur des considérations subjectives en tenant notam</w:t>
      </w:r>
      <w:r w:rsidR="00534BDA">
        <w:rPr>
          <w:rFonts w:ascii="Cambria" w:hAnsi="Cambria" w:cs="Times New Roman"/>
          <w:color w:val="4F81BD" w:themeColor="accent1"/>
        </w:rPr>
        <w:t>m</w:t>
      </w:r>
      <w:r w:rsidRPr="007F1E1C">
        <w:rPr>
          <w:rFonts w:ascii="Cambria" w:hAnsi="Cambria" w:cs="Times New Roman"/>
          <w:color w:val="4F81BD" w:themeColor="accent1"/>
        </w:rPr>
        <w:t xml:space="preserve">ent compte de l'apparence d'indépendance. </w:t>
      </w:r>
    </w:p>
    <w:p w14:paraId="0DF26755" w14:textId="0FF8C48D" w:rsidR="007F1E1C" w:rsidRPr="007F1E1C" w:rsidRDefault="007F1E1C" w:rsidP="0065212E">
      <w:pPr>
        <w:widowControl w:val="0"/>
        <w:autoSpaceDE w:val="0"/>
        <w:autoSpaceDN w:val="0"/>
        <w:adjustRightInd w:val="0"/>
        <w:jc w:val="both"/>
        <w:rPr>
          <w:rFonts w:ascii="Cambria" w:hAnsi="Cambria" w:cs="Times New Roman"/>
          <w:color w:val="4F81BD" w:themeColor="accent1"/>
        </w:rPr>
      </w:pPr>
      <w:r w:rsidRPr="007F1E1C">
        <w:rPr>
          <w:rFonts w:ascii="Cambria" w:hAnsi="Cambria" w:cs="Times New Roman"/>
          <w:color w:val="4F81BD" w:themeColor="accent1"/>
        </w:rPr>
        <w:t>Dans la seconde</w:t>
      </w:r>
      <w:r w:rsidR="00CC4029">
        <w:rPr>
          <w:rFonts w:ascii="Cambria" w:hAnsi="Cambria" w:cs="Times New Roman"/>
          <w:color w:val="4F81BD" w:themeColor="accent1"/>
        </w:rPr>
        <w:t>,</w:t>
      </w:r>
      <w:r w:rsidRPr="007F1E1C">
        <w:rPr>
          <w:rFonts w:ascii="Cambria" w:hAnsi="Cambria" w:cs="Times New Roman"/>
          <w:color w:val="4F81BD" w:themeColor="accent1"/>
        </w:rPr>
        <w:t xml:space="preserve"> elle apprécie le caractère d'impartialité selon une double démarche consistant à la fois à essayer « </w:t>
      </w:r>
      <w:r w:rsidRPr="00205A2E">
        <w:rPr>
          <w:rFonts w:ascii="Cambria" w:hAnsi="Cambria" w:cs="Times New Roman"/>
          <w:i/>
          <w:color w:val="4F81BD" w:themeColor="accent1"/>
        </w:rPr>
        <w:t>de déterminer la conviction personnel de tel ou tel juge en telle occasion</w:t>
      </w:r>
      <w:r w:rsidRPr="007F1E1C">
        <w:rPr>
          <w:rFonts w:ascii="Cambria" w:hAnsi="Cambria" w:cs="Times New Roman"/>
          <w:color w:val="4F81BD" w:themeColor="accent1"/>
        </w:rPr>
        <w:t> » et «</w:t>
      </w:r>
      <w:r w:rsidR="00205A2E">
        <w:rPr>
          <w:rFonts w:ascii="Cambria" w:hAnsi="Cambria" w:cs="Times New Roman"/>
          <w:color w:val="4F81BD" w:themeColor="accent1"/>
        </w:rPr>
        <w:t xml:space="preserve"> </w:t>
      </w:r>
      <w:r w:rsidR="00205A2E" w:rsidRPr="00205A2E">
        <w:rPr>
          <w:rFonts w:ascii="Cambria" w:hAnsi="Cambria" w:cs="Times New Roman"/>
          <w:i/>
          <w:color w:val="4F81BD" w:themeColor="accent1"/>
        </w:rPr>
        <w:t>à</w:t>
      </w:r>
      <w:r w:rsidRPr="00205A2E">
        <w:rPr>
          <w:rFonts w:ascii="Cambria" w:hAnsi="Cambria" w:cs="Times New Roman"/>
          <w:i/>
          <w:color w:val="4F81BD" w:themeColor="accent1"/>
        </w:rPr>
        <w:t> s'assurer qu'il offrait des garanties suffisantes pour exclure à cet égard tout doute légitime</w:t>
      </w:r>
      <w:r w:rsidRPr="007F1E1C">
        <w:rPr>
          <w:rFonts w:ascii="Cambria" w:hAnsi="Cambria" w:cs="Times New Roman"/>
          <w:color w:val="4F81BD" w:themeColor="accent1"/>
        </w:rPr>
        <w:t xml:space="preserve"> ». </w:t>
      </w:r>
    </w:p>
    <w:p w14:paraId="2772CF85" w14:textId="77777777" w:rsidR="007F1E1C" w:rsidRPr="007F1E1C" w:rsidRDefault="007F1E1C" w:rsidP="0065212E">
      <w:pPr>
        <w:widowControl w:val="0"/>
        <w:autoSpaceDE w:val="0"/>
        <w:autoSpaceDN w:val="0"/>
        <w:adjustRightInd w:val="0"/>
        <w:jc w:val="both"/>
        <w:rPr>
          <w:rFonts w:ascii="Cambria" w:hAnsi="Cambria" w:cs="Times New Roman"/>
          <w:color w:val="4F81BD" w:themeColor="accent1"/>
        </w:rPr>
      </w:pPr>
    </w:p>
    <w:p w14:paraId="3506EDC8" w14:textId="46695CF7" w:rsidR="00E17A0E" w:rsidRDefault="007F1E1C" w:rsidP="0065212E">
      <w:pPr>
        <w:widowControl w:val="0"/>
        <w:autoSpaceDE w:val="0"/>
        <w:autoSpaceDN w:val="0"/>
        <w:adjustRightInd w:val="0"/>
        <w:jc w:val="both"/>
        <w:rPr>
          <w:rFonts w:ascii="Cambria" w:hAnsi="Cambria" w:cs="Times New Roman"/>
          <w:color w:val="4F81BD" w:themeColor="accent1"/>
        </w:rPr>
      </w:pPr>
      <w:r w:rsidRPr="007F1E1C">
        <w:rPr>
          <w:rFonts w:ascii="Cambria" w:hAnsi="Cambria" w:cs="Times New Roman"/>
          <w:color w:val="4F81BD" w:themeColor="accent1"/>
        </w:rPr>
        <w:t>La Cour de cassation a pris note de la jurisprudence et des exigences de la Cour de  Strasbourg. Par conséquent, elle a d'abord porté ses critiques sur la composition du TCI en la jugeant incompatible av</w:t>
      </w:r>
      <w:r w:rsidR="00B63861">
        <w:rPr>
          <w:rFonts w:ascii="Cambria" w:hAnsi="Cambria" w:cs="Times New Roman"/>
          <w:color w:val="4F81BD" w:themeColor="accent1"/>
        </w:rPr>
        <w:t xml:space="preserve">ec les exigences de l'article 6 §1 de la </w:t>
      </w:r>
      <w:r w:rsidR="001F2E84">
        <w:rPr>
          <w:rFonts w:ascii="Cambria" w:hAnsi="Cambria" w:cs="Times New Roman"/>
          <w:color w:val="4F81BD" w:themeColor="accent1"/>
        </w:rPr>
        <w:t>Convention européenne de sauvegarde des droits de l’Homme</w:t>
      </w:r>
      <w:r w:rsidRPr="007F1E1C">
        <w:rPr>
          <w:rFonts w:ascii="Cambria" w:hAnsi="Cambria" w:cs="Times New Roman"/>
          <w:color w:val="4F81BD" w:themeColor="accent1"/>
        </w:rPr>
        <w:t xml:space="preserve"> (1) puis elle a étendu ce constat à la CNITAT (2). </w:t>
      </w:r>
      <w:r w:rsidR="00B63861">
        <w:rPr>
          <w:rFonts w:ascii="Cambria" w:hAnsi="Cambria" w:cs="Times New Roman"/>
          <w:color w:val="4F81BD" w:themeColor="accent1"/>
        </w:rPr>
        <w:t>Il est également possible de</w:t>
      </w:r>
      <w:r w:rsidRPr="007F1E1C">
        <w:rPr>
          <w:rFonts w:ascii="Cambria" w:hAnsi="Cambria" w:cs="Times New Roman"/>
          <w:color w:val="4F81BD" w:themeColor="accent1"/>
        </w:rPr>
        <w:t xml:space="preserve"> souligner le fait que le </w:t>
      </w:r>
      <w:r w:rsidR="00B63861">
        <w:rPr>
          <w:rFonts w:ascii="Cambria" w:hAnsi="Cambria" w:cs="Times New Roman"/>
          <w:color w:val="4F81BD" w:themeColor="accent1"/>
        </w:rPr>
        <w:t xml:space="preserve">Conseil </w:t>
      </w:r>
      <w:r w:rsidRPr="007F1E1C">
        <w:rPr>
          <w:rFonts w:ascii="Cambria" w:hAnsi="Cambria" w:cs="Times New Roman"/>
          <w:color w:val="4F81BD" w:themeColor="accent1"/>
        </w:rPr>
        <w:t>constitutionnel a vérifi</w:t>
      </w:r>
      <w:r w:rsidR="00B63861">
        <w:rPr>
          <w:rFonts w:ascii="Cambria" w:hAnsi="Cambria" w:cs="Times New Roman"/>
          <w:color w:val="4F81BD" w:themeColor="accent1"/>
        </w:rPr>
        <w:t>é</w:t>
      </w:r>
      <w:r w:rsidRPr="007F1E1C">
        <w:rPr>
          <w:rFonts w:ascii="Cambria" w:hAnsi="Cambria" w:cs="Times New Roman"/>
          <w:color w:val="4F81BD" w:themeColor="accent1"/>
        </w:rPr>
        <w:t xml:space="preserve"> indirectement</w:t>
      </w:r>
      <w:r w:rsidR="00B63861">
        <w:rPr>
          <w:rFonts w:ascii="Cambria" w:hAnsi="Cambria" w:cs="Times New Roman"/>
          <w:color w:val="4F81BD" w:themeColor="accent1"/>
        </w:rPr>
        <w:t>,</w:t>
      </w:r>
      <w:r w:rsidRPr="007F1E1C">
        <w:rPr>
          <w:rFonts w:ascii="Cambria" w:hAnsi="Cambria" w:cs="Times New Roman"/>
          <w:color w:val="4F81BD" w:themeColor="accent1"/>
        </w:rPr>
        <w:t xml:space="preserve"> par le biais du contrôle de constitutionnalité, la conformité du </w:t>
      </w:r>
      <w:r w:rsidR="00A41681">
        <w:rPr>
          <w:rFonts w:ascii="Cambria" w:hAnsi="Cambria" w:cs="Times New Roman"/>
          <w:color w:val="4F81BD" w:themeColor="accent1"/>
        </w:rPr>
        <w:t>Tribunal des affaires de la Sécurité sociale</w:t>
      </w:r>
      <w:r w:rsidRPr="007F1E1C">
        <w:rPr>
          <w:rFonts w:ascii="Cambria" w:hAnsi="Cambria" w:cs="Times New Roman"/>
          <w:color w:val="4F81BD" w:themeColor="accent1"/>
        </w:rPr>
        <w:t xml:space="preserve"> aux exigences d'impartialité et d'indépendance  formulées dans l'article 6</w:t>
      </w:r>
      <w:r w:rsidR="00B63861">
        <w:rPr>
          <w:rFonts w:ascii="Cambria" w:hAnsi="Cambria" w:cs="Times New Roman"/>
          <w:color w:val="4F81BD" w:themeColor="accent1"/>
        </w:rPr>
        <w:t xml:space="preserve"> </w:t>
      </w:r>
      <w:r w:rsidRPr="007F1E1C">
        <w:rPr>
          <w:rFonts w:ascii="Cambria" w:hAnsi="Cambria" w:cs="Times New Roman"/>
          <w:color w:val="4F81BD" w:themeColor="accent1"/>
        </w:rPr>
        <w:t>§1 (3).</w:t>
      </w:r>
      <w:r w:rsidR="00B63861">
        <w:rPr>
          <w:rFonts w:ascii="Cambria" w:hAnsi="Cambria" w:cs="Times New Roman"/>
          <w:color w:val="4F81BD" w:themeColor="accent1"/>
        </w:rPr>
        <w:t xml:space="preserve"> </w:t>
      </w:r>
    </w:p>
    <w:p w14:paraId="0D88AC81" w14:textId="77777777" w:rsidR="00266B24" w:rsidRDefault="00266B24" w:rsidP="0065212E">
      <w:pPr>
        <w:widowControl w:val="0"/>
        <w:autoSpaceDE w:val="0"/>
        <w:autoSpaceDN w:val="0"/>
        <w:adjustRightInd w:val="0"/>
        <w:jc w:val="both"/>
        <w:rPr>
          <w:rFonts w:ascii="Cambria" w:hAnsi="Cambria" w:cs="Times New Roman"/>
          <w:color w:val="4F81BD" w:themeColor="accent1"/>
        </w:rPr>
      </w:pPr>
    </w:p>
    <w:p w14:paraId="4F4E7A26" w14:textId="7C665C46" w:rsidR="00266B24" w:rsidRDefault="00266B24" w:rsidP="0065212E">
      <w:pPr>
        <w:widowControl w:val="0"/>
        <w:autoSpaceDE w:val="0"/>
        <w:autoSpaceDN w:val="0"/>
        <w:adjustRightInd w:val="0"/>
        <w:jc w:val="both"/>
        <w:rPr>
          <w:rFonts w:ascii="Cambria" w:hAnsi="Cambria" w:cs="Times New Roman"/>
        </w:rPr>
      </w:pPr>
      <w:r w:rsidRPr="00266B24">
        <w:rPr>
          <w:rFonts w:ascii="Cambria" w:hAnsi="Cambria" w:cs="Times New Roman"/>
        </w:rPr>
        <w:t xml:space="preserve">1/ </w:t>
      </w:r>
      <w:r>
        <w:rPr>
          <w:rFonts w:ascii="Cambria" w:hAnsi="Cambria" w:cs="Times New Roman"/>
        </w:rPr>
        <w:t xml:space="preserve">Le TCI face </w:t>
      </w:r>
      <w:r w:rsidR="00305063">
        <w:rPr>
          <w:rFonts w:ascii="Cambria" w:hAnsi="Cambria" w:cs="Times New Roman"/>
        </w:rPr>
        <w:t xml:space="preserve">au principe d’indépendance et d’impartialité. </w:t>
      </w:r>
    </w:p>
    <w:p w14:paraId="6CAF6F0D" w14:textId="77777777" w:rsidR="00266B24" w:rsidRDefault="00266B24" w:rsidP="0065212E">
      <w:pPr>
        <w:widowControl w:val="0"/>
        <w:autoSpaceDE w:val="0"/>
        <w:autoSpaceDN w:val="0"/>
        <w:adjustRightInd w:val="0"/>
        <w:jc w:val="both"/>
        <w:rPr>
          <w:rFonts w:ascii="Cambria" w:hAnsi="Cambria" w:cs="Times New Roman"/>
        </w:rPr>
      </w:pPr>
    </w:p>
    <w:p w14:paraId="3C958A00" w14:textId="72D0546C"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La Cour de cassation s'est demandé</w:t>
      </w:r>
      <w:r w:rsidR="00D45D79">
        <w:rPr>
          <w:rFonts w:ascii="Cambria" w:hAnsi="Cambria" w:cs="Times New Roman"/>
          <w:color w:val="4F81BD" w:themeColor="accent1"/>
        </w:rPr>
        <w:t>e</w:t>
      </w:r>
      <w:r w:rsidRPr="00891C13">
        <w:rPr>
          <w:rFonts w:ascii="Cambria" w:hAnsi="Cambria" w:cs="Times New Roman"/>
          <w:color w:val="4F81BD" w:themeColor="accent1"/>
        </w:rPr>
        <w:t xml:space="preserve"> à deux reprises si les TCI</w:t>
      </w:r>
      <w:r w:rsidR="00D45D79">
        <w:rPr>
          <w:rFonts w:ascii="Cambria" w:hAnsi="Cambria" w:cs="Times New Roman"/>
          <w:color w:val="4F81BD" w:themeColor="accent1"/>
        </w:rPr>
        <w:t>,</w:t>
      </w:r>
      <w:r w:rsidRPr="00891C13">
        <w:rPr>
          <w:rFonts w:ascii="Cambria" w:hAnsi="Cambria" w:cs="Times New Roman"/>
          <w:color w:val="4F81BD" w:themeColor="accent1"/>
        </w:rPr>
        <w:t xml:space="preserve"> du fait de leur composition</w:t>
      </w:r>
      <w:r w:rsidR="00D45D79">
        <w:rPr>
          <w:rFonts w:ascii="Cambria" w:hAnsi="Cambria" w:cs="Times New Roman"/>
          <w:color w:val="4F81BD" w:themeColor="accent1"/>
        </w:rPr>
        <w:t>,</w:t>
      </w:r>
      <w:r w:rsidRPr="00891C13">
        <w:rPr>
          <w:rFonts w:ascii="Cambria" w:hAnsi="Cambria" w:cs="Times New Roman"/>
          <w:color w:val="4F81BD" w:themeColor="accent1"/>
        </w:rPr>
        <w:t xml:space="preserve"> étaient des tribunaux indépendants et impartiaux au sens de l'article 6</w:t>
      </w:r>
      <w:r w:rsidR="00770064">
        <w:rPr>
          <w:rFonts w:ascii="Cambria" w:hAnsi="Cambria" w:cs="Times New Roman"/>
          <w:color w:val="4F81BD" w:themeColor="accent1"/>
        </w:rPr>
        <w:t xml:space="preserve"> </w:t>
      </w:r>
      <w:r w:rsidRPr="00891C13">
        <w:rPr>
          <w:rFonts w:ascii="Cambria" w:hAnsi="Cambria" w:cs="Times New Roman"/>
          <w:color w:val="4F81BD" w:themeColor="accent1"/>
        </w:rPr>
        <w:t>§1. Elle a répondu à son i</w:t>
      </w:r>
      <w:r w:rsidR="007B2EC7">
        <w:rPr>
          <w:rFonts w:ascii="Cambria" w:hAnsi="Cambria" w:cs="Times New Roman"/>
          <w:color w:val="4F81BD" w:themeColor="accent1"/>
        </w:rPr>
        <w:t>nterrogation dans deux affaires :</w:t>
      </w:r>
      <w:r w:rsidRPr="00891C13">
        <w:rPr>
          <w:rFonts w:ascii="Cambria" w:hAnsi="Cambria" w:cs="Times New Roman"/>
          <w:color w:val="4F81BD" w:themeColor="accent1"/>
        </w:rPr>
        <w:t xml:space="preserve"> l'affaire </w:t>
      </w:r>
      <w:r w:rsidRPr="007B2EC7">
        <w:rPr>
          <w:rFonts w:ascii="Cambria" w:hAnsi="Cambria" w:cs="Times New Roman"/>
          <w:color w:val="4F81BD" w:themeColor="accent1"/>
          <w:u w:val="single"/>
        </w:rPr>
        <w:t>Madaci</w:t>
      </w:r>
      <w:r w:rsidRPr="00891C13">
        <w:rPr>
          <w:rFonts w:ascii="Cambria" w:hAnsi="Cambria" w:cs="Times New Roman"/>
          <w:color w:val="4F81BD" w:themeColor="accent1"/>
        </w:rPr>
        <w:t xml:space="preserve"> </w:t>
      </w:r>
      <w:r w:rsidR="007B2EC7">
        <w:rPr>
          <w:rFonts w:ascii="Cambria" w:hAnsi="Cambria" w:cs="Times New Roman"/>
          <w:color w:val="4F81BD" w:themeColor="accent1"/>
        </w:rPr>
        <w:t>de</w:t>
      </w:r>
      <w:r w:rsidRPr="00891C13">
        <w:rPr>
          <w:rFonts w:ascii="Cambria" w:hAnsi="Cambria" w:cs="Times New Roman"/>
          <w:color w:val="4F81BD" w:themeColor="accent1"/>
        </w:rPr>
        <w:t xml:space="preserve"> 1998 (</w:t>
      </w:r>
      <w:r w:rsidR="007B2EC7">
        <w:rPr>
          <w:rFonts w:ascii="Cambria" w:hAnsi="Cambria" w:cs="Times New Roman"/>
          <w:color w:val="4F81BD" w:themeColor="accent1"/>
        </w:rPr>
        <w:t xml:space="preserve">Cass. Soc., </w:t>
      </w:r>
      <w:r w:rsidRPr="00891C13">
        <w:rPr>
          <w:rFonts w:ascii="Cambria" w:hAnsi="Cambria" w:cs="Times New Roman"/>
          <w:color w:val="4F81BD" w:themeColor="accent1"/>
        </w:rPr>
        <w:t>17 décembre 1998</w:t>
      </w:r>
      <w:r w:rsidR="007B2EC7">
        <w:rPr>
          <w:rFonts w:ascii="Cambria" w:hAnsi="Cambria" w:cs="Times New Roman"/>
          <w:color w:val="4F81BD" w:themeColor="accent1"/>
        </w:rPr>
        <w:t>,</w:t>
      </w:r>
      <w:r w:rsidRPr="00891C13">
        <w:rPr>
          <w:rFonts w:ascii="Cambria" w:hAnsi="Cambria" w:cs="Times New Roman"/>
          <w:color w:val="4F81BD" w:themeColor="accent1"/>
        </w:rPr>
        <w:t xml:space="preserve"> </w:t>
      </w:r>
      <w:r w:rsidR="007B2EC7">
        <w:rPr>
          <w:rFonts w:ascii="Cambria" w:hAnsi="Cambria" w:cs="Times New Roman"/>
          <w:color w:val="4F81BD" w:themeColor="accent1"/>
          <w:u w:val="single"/>
        </w:rPr>
        <w:t>Madaci c</w:t>
      </w:r>
      <w:r w:rsidRPr="007B2EC7">
        <w:rPr>
          <w:rFonts w:ascii="Cambria" w:hAnsi="Cambria" w:cs="Times New Roman"/>
          <w:color w:val="4F81BD" w:themeColor="accent1"/>
          <w:u w:val="single"/>
        </w:rPr>
        <w:t>/ CPAM</w:t>
      </w:r>
      <w:r w:rsidRPr="00891C13">
        <w:rPr>
          <w:rFonts w:ascii="Cambria" w:hAnsi="Cambria" w:cs="Times New Roman"/>
          <w:color w:val="4F81BD" w:themeColor="accent1"/>
        </w:rPr>
        <w:t xml:space="preserve">) et l'affaire </w:t>
      </w:r>
      <w:r w:rsidRPr="006314BB">
        <w:rPr>
          <w:rFonts w:ascii="Cambria" w:hAnsi="Cambria" w:cs="Times New Roman"/>
          <w:color w:val="4F81BD" w:themeColor="accent1"/>
          <w:u w:val="single"/>
        </w:rPr>
        <w:t>Habib Sba</w:t>
      </w:r>
      <w:r w:rsidRPr="00891C13">
        <w:rPr>
          <w:rFonts w:ascii="Cambria" w:hAnsi="Cambria" w:cs="Times New Roman"/>
          <w:color w:val="4F81BD" w:themeColor="accent1"/>
        </w:rPr>
        <w:t xml:space="preserve"> </w:t>
      </w:r>
      <w:r w:rsidR="006314BB">
        <w:rPr>
          <w:rFonts w:ascii="Cambria" w:hAnsi="Cambria" w:cs="Times New Roman"/>
          <w:color w:val="4F81BD" w:themeColor="accent1"/>
        </w:rPr>
        <w:t>de</w:t>
      </w:r>
      <w:r w:rsidRPr="00891C13">
        <w:rPr>
          <w:rFonts w:ascii="Cambria" w:hAnsi="Cambria" w:cs="Times New Roman"/>
          <w:color w:val="4F81BD" w:themeColor="accent1"/>
        </w:rPr>
        <w:t xml:space="preserve"> 2000 (</w:t>
      </w:r>
      <w:r w:rsidR="006314BB">
        <w:rPr>
          <w:rFonts w:ascii="Cambria" w:hAnsi="Cambria" w:cs="Times New Roman"/>
          <w:color w:val="4F81BD" w:themeColor="accent1"/>
        </w:rPr>
        <w:t xml:space="preserve">Cass. Soc., </w:t>
      </w:r>
      <w:r w:rsidR="006314BB" w:rsidRPr="006314BB">
        <w:rPr>
          <w:rFonts w:ascii="Cambria" w:hAnsi="Cambria" w:cs="Times New Roman"/>
          <w:color w:val="4F81BD" w:themeColor="accent1"/>
          <w:u w:val="single"/>
        </w:rPr>
        <w:t>Habib Sba c</w:t>
      </w:r>
      <w:r w:rsidRPr="006314BB">
        <w:rPr>
          <w:rFonts w:ascii="Cambria" w:hAnsi="Cambria" w:cs="Times New Roman"/>
          <w:color w:val="4F81BD" w:themeColor="accent1"/>
          <w:u w:val="single"/>
        </w:rPr>
        <w:t>/ CPAM</w:t>
      </w:r>
      <w:r w:rsidRPr="00891C13">
        <w:rPr>
          <w:rFonts w:ascii="Cambria" w:hAnsi="Cambria" w:cs="Times New Roman"/>
          <w:color w:val="4F81BD" w:themeColor="accent1"/>
        </w:rPr>
        <w:t xml:space="preserve">). </w:t>
      </w:r>
    </w:p>
    <w:p w14:paraId="4FDBFCE3" w14:textId="77777777" w:rsidR="00891C13" w:rsidRPr="00891C13" w:rsidRDefault="00891C13" w:rsidP="00891C13">
      <w:pPr>
        <w:widowControl w:val="0"/>
        <w:autoSpaceDE w:val="0"/>
        <w:autoSpaceDN w:val="0"/>
        <w:adjustRightInd w:val="0"/>
        <w:jc w:val="both"/>
        <w:rPr>
          <w:rFonts w:ascii="Cambria" w:hAnsi="Cambria" w:cs="Times New Roman"/>
          <w:color w:val="4F81BD" w:themeColor="accent1"/>
        </w:rPr>
      </w:pPr>
    </w:p>
    <w:p w14:paraId="458176F7" w14:textId="1C7CC00A"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Dans les deux cas</w:t>
      </w:r>
      <w:r w:rsidR="00DB60E5">
        <w:rPr>
          <w:rFonts w:ascii="Cambria" w:hAnsi="Cambria" w:cs="Times New Roman"/>
          <w:color w:val="4F81BD" w:themeColor="accent1"/>
        </w:rPr>
        <w:t>,</w:t>
      </w:r>
      <w:r w:rsidRPr="00891C13">
        <w:rPr>
          <w:rFonts w:ascii="Cambria" w:hAnsi="Cambria" w:cs="Times New Roman"/>
          <w:color w:val="4F81BD" w:themeColor="accent1"/>
        </w:rPr>
        <w:t xml:space="preserve"> il s'agissait d'un salarié qui avait saisi un TCI d'une demande de réévaluation de son taux d'incapacité résultant d'un accident du travail. Dans les deux affaires</w:t>
      </w:r>
      <w:r w:rsidR="000926EB">
        <w:rPr>
          <w:rFonts w:ascii="Cambria" w:hAnsi="Cambria" w:cs="Times New Roman"/>
          <w:color w:val="4F81BD" w:themeColor="accent1"/>
        </w:rPr>
        <w:t>,</w:t>
      </w:r>
      <w:r w:rsidRPr="00891C13">
        <w:rPr>
          <w:rFonts w:ascii="Cambria" w:hAnsi="Cambria" w:cs="Times New Roman"/>
          <w:color w:val="4F81BD" w:themeColor="accent1"/>
        </w:rPr>
        <w:t xml:space="preserve"> le TCI avait rejeté la demande formulée. Les salariés </w:t>
      </w:r>
      <w:r w:rsidR="000926EB">
        <w:rPr>
          <w:rFonts w:ascii="Cambria" w:hAnsi="Cambria" w:cs="Times New Roman"/>
          <w:color w:val="4F81BD" w:themeColor="accent1"/>
        </w:rPr>
        <w:t xml:space="preserve">se sont alors pourvus </w:t>
      </w:r>
      <w:r w:rsidRPr="00891C13">
        <w:rPr>
          <w:rFonts w:ascii="Cambria" w:hAnsi="Cambria" w:cs="Times New Roman"/>
          <w:color w:val="4F81BD" w:themeColor="accent1"/>
        </w:rPr>
        <w:t>en cassation</w:t>
      </w:r>
      <w:r w:rsidR="000926EB">
        <w:rPr>
          <w:rFonts w:ascii="Cambria" w:hAnsi="Cambria" w:cs="Times New Roman"/>
          <w:color w:val="4F81BD" w:themeColor="accent1"/>
        </w:rPr>
        <w:t>,</w:t>
      </w:r>
      <w:r w:rsidRPr="00891C13">
        <w:rPr>
          <w:rFonts w:ascii="Cambria" w:hAnsi="Cambria" w:cs="Times New Roman"/>
          <w:color w:val="4F81BD" w:themeColor="accent1"/>
        </w:rPr>
        <w:t xml:space="preserve"> au moyen que ce </w:t>
      </w:r>
      <w:r w:rsidR="000926EB">
        <w:rPr>
          <w:rFonts w:ascii="Cambria" w:hAnsi="Cambria" w:cs="Times New Roman"/>
          <w:color w:val="4F81BD" w:themeColor="accent1"/>
        </w:rPr>
        <w:t>t</w:t>
      </w:r>
      <w:r w:rsidRPr="00891C13">
        <w:rPr>
          <w:rFonts w:ascii="Cambria" w:hAnsi="Cambria" w:cs="Times New Roman"/>
          <w:color w:val="4F81BD" w:themeColor="accent1"/>
        </w:rPr>
        <w:t xml:space="preserve">ribunal n'était pas conforme aux exigences d'indépendance et d'impartialité </w:t>
      </w:r>
      <w:r w:rsidR="000926EB">
        <w:rPr>
          <w:rFonts w:ascii="Cambria" w:hAnsi="Cambria" w:cs="Times New Roman"/>
          <w:color w:val="4F81BD" w:themeColor="accent1"/>
        </w:rPr>
        <w:t xml:space="preserve">imposées </w:t>
      </w:r>
      <w:r w:rsidRPr="00891C13">
        <w:rPr>
          <w:rFonts w:ascii="Cambria" w:hAnsi="Cambria" w:cs="Times New Roman"/>
          <w:color w:val="4F81BD" w:themeColor="accent1"/>
        </w:rPr>
        <w:t>par l'article 6</w:t>
      </w:r>
      <w:r w:rsidR="000926EB">
        <w:rPr>
          <w:rFonts w:ascii="Cambria" w:hAnsi="Cambria" w:cs="Times New Roman"/>
          <w:color w:val="4F81BD" w:themeColor="accent1"/>
        </w:rPr>
        <w:t xml:space="preserve"> </w:t>
      </w:r>
      <w:r w:rsidRPr="00891C13">
        <w:rPr>
          <w:rFonts w:ascii="Cambria" w:hAnsi="Cambria" w:cs="Times New Roman"/>
          <w:color w:val="4F81BD" w:themeColor="accent1"/>
        </w:rPr>
        <w:t>§1</w:t>
      </w:r>
      <w:r w:rsidR="000926EB">
        <w:rPr>
          <w:rFonts w:ascii="Cambria" w:hAnsi="Cambria" w:cs="Times New Roman"/>
          <w:color w:val="4F81BD" w:themeColor="accent1"/>
        </w:rPr>
        <w:t>,</w:t>
      </w:r>
      <w:r w:rsidRPr="00891C13">
        <w:rPr>
          <w:rFonts w:ascii="Cambria" w:hAnsi="Cambria" w:cs="Times New Roman"/>
          <w:color w:val="4F81BD" w:themeColor="accent1"/>
        </w:rPr>
        <w:t xml:space="preserve"> </w:t>
      </w:r>
      <w:r w:rsidR="000926EB">
        <w:rPr>
          <w:rFonts w:ascii="Cambria" w:hAnsi="Cambria" w:cs="Times New Roman"/>
          <w:color w:val="4F81BD" w:themeColor="accent1"/>
        </w:rPr>
        <w:t xml:space="preserve">en raison </w:t>
      </w:r>
      <w:r w:rsidRPr="00891C13">
        <w:rPr>
          <w:rFonts w:ascii="Cambria" w:hAnsi="Cambria" w:cs="Times New Roman"/>
          <w:color w:val="4F81BD" w:themeColor="accent1"/>
        </w:rPr>
        <w:t xml:space="preserve">des modalités de sa composition </w:t>
      </w:r>
      <w:r w:rsidR="000926EB">
        <w:rPr>
          <w:rFonts w:ascii="Cambria" w:hAnsi="Cambria" w:cs="Times New Roman"/>
          <w:color w:val="4F81BD" w:themeColor="accent1"/>
        </w:rPr>
        <w:t xml:space="preserve">telles </w:t>
      </w:r>
      <w:r w:rsidRPr="00891C13">
        <w:rPr>
          <w:rFonts w:ascii="Cambria" w:hAnsi="Cambria" w:cs="Times New Roman"/>
          <w:color w:val="4F81BD" w:themeColor="accent1"/>
        </w:rPr>
        <w:t xml:space="preserve">qu'issues de l'article R143-4 du </w:t>
      </w:r>
      <w:r w:rsidR="000926EB">
        <w:rPr>
          <w:rFonts w:ascii="Cambria" w:hAnsi="Cambria" w:cs="Times New Roman"/>
          <w:color w:val="4F81BD" w:themeColor="accent1"/>
        </w:rPr>
        <w:t>C</w:t>
      </w:r>
      <w:r w:rsidRPr="00891C13">
        <w:rPr>
          <w:rFonts w:ascii="Cambria" w:hAnsi="Cambria" w:cs="Times New Roman"/>
          <w:color w:val="4F81BD" w:themeColor="accent1"/>
        </w:rPr>
        <w:t xml:space="preserve">ode de la sécurité sociale. </w:t>
      </w:r>
    </w:p>
    <w:p w14:paraId="015D4226" w14:textId="77777777" w:rsidR="00665862" w:rsidRDefault="00665862" w:rsidP="00891C13">
      <w:pPr>
        <w:widowControl w:val="0"/>
        <w:autoSpaceDE w:val="0"/>
        <w:autoSpaceDN w:val="0"/>
        <w:adjustRightInd w:val="0"/>
        <w:jc w:val="both"/>
        <w:rPr>
          <w:rFonts w:ascii="Cambria" w:hAnsi="Cambria" w:cs="Times New Roman"/>
          <w:color w:val="4F81BD" w:themeColor="accent1"/>
        </w:rPr>
      </w:pPr>
    </w:p>
    <w:p w14:paraId="6B6C0353" w14:textId="4D3C250A" w:rsidR="006A41C9"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 xml:space="preserve">La Cour de cassation s'est donc penchée sur la composition des TCI. Elle a relevé qu'ils étaient présidés soit par le directeur régional des </w:t>
      </w:r>
      <w:r w:rsidR="003548E1">
        <w:rPr>
          <w:rFonts w:ascii="Cambria" w:hAnsi="Cambria" w:cs="Times New Roman"/>
          <w:color w:val="4F81BD" w:themeColor="accent1"/>
        </w:rPr>
        <w:t xml:space="preserve">affaires sanitaires et sociales, soit </w:t>
      </w:r>
      <w:r w:rsidRPr="00891C13">
        <w:rPr>
          <w:rFonts w:ascii="Cambria" w:hAnsi="Cambria" w:cs="Times New Roman"/>
          <w:color w:val="4F81BD" w:themeColor="accent1"/>
        </w:rPr>
        <w:t xml:space="preserve">par le chef de service régional de l'inspection du travail, de l'emploi et de la politique sociale agricole, selon la nature des questions soumises à la juridiction. L'un </w:t>
      </w:r>
      <w:r w:rsidR="004D0401">
        <w:rPr>
          <w:rFonts w:ascii="Cambria" w:hAnsi="Cambria" w:cs="Times New Roman"/>
          <w:color w:val="4F81BD" w:themeColor="accent1"/>
        </w:rPr>
        <w:t>comme</w:t>
      </w:r>
      <w:r w:rsidRPr="00891C13">
        <w:rPr>
          <w:rFonts w:ascii="Cambria" w:hAnsi="Cambria" w:cs="Times New Roman"/>
          <w:color w:val="4F81BD" w:themeColor="accent1"/>
        </w:rPr>
        <w:t xml:space="preserve"> l'autre </w:t>
      </w:r>
      <w:r w:rsidR="006A41C9" w:rsidRPr="00891C13">
        <w:rPr>
          <w:rFonts w:ascii="Cambria" w:hAnsi="Cambria" w:cs="Times New Roman"/>
          <w:color w:val="4F81BD" w:themeColor="accent1"/>
        </w:rPr>
        <w:t>pouvait</w:t>
      </w:r>
      <w:r w:rsidRPr="00891C13">
        <w:rPr>
          <w:rFonts w:ascii="Cambria" w:hAnsi="Cambria" w:cs="Times New Roman"/>
          <w:color w:val="4F81BD" w:themeColor="accent1"/>
        </w:rPr>
        <w:t xml:space="preserve"> se faire représenter par un fonctionnaire de son administration. </w:t>
      </w:r>
    </w:p>
    <w:p w14:paraId="12BDCE28" w14:textId="2FFC0820"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Selon la même disposition réglementaire</w:t>
      </w:r>
      <w:r w:rsidR="006A41C9">
        <w:rPr>
          <w:rFonts w:ascii="Cambria" w:hAnsi="Cambria" w:cs="Times New Roman"/>
          <w:color w:val="4F81BD" w:themeColor="accent1"/>
        </w:rPr>
        <w:t> ;</w:t>
      </w:r>
      <w:r w:rsidR="00A82CFA">
        <w:rPr>
          <w:rFonts w:ascii="Cambria" w:hAnsi="Cambria" w:cs="Times New Roman"/>
          <w:color w:val="4F81BD" w:themeColor="accent1"/>
        </w:rPr>
        <w:t xml:space="preserve"> les TCI comprenaient </w:t>
      </w:r>
      <w:r w:rsidRPr="00891C13">
        <w:rPr>
          <w:rFonts w:ascii="Cambria" w:hAnsi="Cambria" w:cs="Times New Roman"/>
          <w:color w:val="4F81BD" w:themeColor="accent1"/>
        </w:rPr>
        <w:t>aussi plusieurs médecin</w:t>
      </w:r>
      <w:r w:rsidR="00A82CFA">
        <w:rPr>
          <w:rFonts w:ascii="Cambria" w:hAnsi="Cambria" w:cs="Times New Roman"/>
          <w:color w:val="4F81BD" w:themeColor="accent1"/>
        </w:rPr>
        <w:t>s</w:t>
      </w:r>
      <w:r w:rsidRPr="00891C13">
        <w:rPr>
          <w:rFonts w:ascii="Cambria" w:hAnsi="Cambria" w:cs="Times New Roman"/>
          <w:color w:val="4F81BD" w:themeColor="accent1"/>
        </w:rPr>
        <w:t>.  Un médecin désigné par le président de la juridiction et pris sur la liste des experts judiciaires, un médecin désigné par le requérant</w:t>
      </w:r>
      <w:r w:rsidR="009E069A">
        <w:rPr>
          <w:rFonts w:ascii="Cambria" w:hAnsi="Cambria" w:cs="Times New Roman"/>
          <w:color w:val="4F81BD" w:themeColor="accent1"/>
        </w:rPr>
        <w:t xml:space="preserve"> et</w:t>
      </w:r>
      <w:r w:rsidRPr="00891C13">
        <w:rPr>
          <w:rFonts w:ascii="Cambria" w:hAnsi="Cambria" w:cs="Times New Roman"/>
          <w:color w:val="4F81BD" w:themeColor="accent1"/>
        </w:rPr>
        <w:t xml:space="preserve"> un médecin désigné par la caisse. On y trouvait aussi un directeur régional du travail et de l'emploi, deux assesseurs représentant respectivement les employeurs et les salariés choisis sur des listes établies, sur proposition des organisations professionnelles, par le président de la juridiction. </w:t>
      </w:r>
    </w:p>
    <w:p w14:paraId="72D07004" w14:textId="77777777" w:rsidR="000F5A7D" w:rsidRDefault="000F5A7D" w:rsidP="00891C13">
      <w:pPr>
        <w:widowControl w:val="0"/>
        <w:autoSpaceDE w:val="0"/>
        <w:autoSpaceDN w:val="0"/>
        <w:adjustRightInd w:val="0"/>
        <w:jc w:val="both"/>
        <w:rPr>
          <w:rFonts w:ascii="Cambria" w:hAnsi="Cambria" w:cs="Times New Roman"/>
          <w:color w:val="4F81BD" w:themeColor="accent1"/>
        </w:rPr>
      </w:pPr>
    </w:p>
    <w:p w14:paraId="169A81A4" w14:textId="2C37C34F"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 xml:space="preserve">A la suite de ce constat, la Cour de cassation </w:t>
      </w:r>
      <w:r w:rsidR="000F5A7D">
        <w:rPr>
          <w:rFonts w:ascii="Cambria" w:hAnsi="Cambria" w:cs="Times New Roman"/>
          <w:color w:val="4F81BD" w:themeColor="accent1"/>
        </w:rPr>
        <w:t xml:space="preserve">a souligné </w:t>
      </w:r>
      <w:r w:rsidRPr="00891C13">
        <w:rPr>
          <w:rFonts w:ascii="Cambria" w:hAnsi="Cambria" w:cs="Times New Roman"/>
          <w:color w:val="4F81BD" w:themeColor="accent1"/>
        </w:rPr>
        <w:t>le fait que la compo</w:t>
      </w:r>
      <w:r w:rsidR="00833BB9">
        <w:rPr>
          <w:rFonts w:ascii="Cambria" w:hAnsi="Cambria" w:cs="Times New Roman"/>
          <w:color w:val="4F81BD" w:themeColor="accent1"/>
        </w:rPr>
        <w:t xml:space="preserve">sition des TCI se caractérisait, </w:t>
      </w:r>
      <w:r w:rsidRPr="00891C13">
        <w:rPr>
          <w:rFonts w:ascii="Cambria" w:hAnsi="Cambria" w:cs="Times New Roman"/>
          <w:color w:val="4F81BD" w:themeColor="accent1"/>
        </w:rPr>
        <w:t>d'une part, par l'absence de magistrats de carrière et</w:t>
      </w:r>
      <w:r w:rsidR="0003769D">
        <w:rPr>
          <w:rFonts w:ascii="Cambria" w:hAnsi="Cambria" w:cs="Times New Roman"/>
          <w:color w:val="4F81BD" w:themeColor="accent1"/>
        </w:rPr>
        <w:t>,</w:t>
      </w:r>
      <w:r w:rsidRPr="00891C13">
        <w:rPr>
          <w:rFonts w:ascii="Cambria" w:hAnsi="Cambria" w:cs="Times New Roman"/>
          <w:color w:val="4F81BD" w:themeColor="accent1"/>
        </w:rPr>
        <w:t xml:space="preserve"> d'autre part, par la présence de fonctionnaires. </w:t>
      </w:r>
    </w:p>
    <w:p w14:paraId="4B6AFE65" w14:textId="77777777" w:rsidR="005F0350"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 xml:space="preserve">La Cour EDH estime que l'absence de magistrats de carrière peut être un signe d'absence d'indépendance  des juges dans les juridictions en cause mais que </w:t>
      </w:r>
      <w:r w:rsidR="00FB3F3D">
        <w:rPr>
          <w:rFonts w:ascii="Cambria" w:hAnsi="Cambria" w:cs="Times New Roman"/>
          <w:color w:val="4F81BD" w:themeColor="accent1"/>
        </w:rPr>
        <w:t>c</w:t>
      </w:r>
      <w:r w:rsidRPr="00891C13">
        <w:rPr>
          <w:rFonts w:ascii="Cambria" w:hAnsi="Cambria" w:cs="Times New Roman"/>
          <w:color w:val="4F81BD" w:themeColor="accent1"/>
        </w:rPr>
        <w:t>e n'est pas un critère absolu et que la présence de fonctionnaire</w:t>
      </w:r>
      <w:r w:rsidR="00FB3F3D">
        <w:rPr>
          <w:rFonts w:ascii="Cambria" w:hAnsi="Cambria" w:cs="Times New Roman"/>
          <w:color w:val="4F81BD" w:themeColor="accent1"/>
        </w:rPr>
        <w:t>s</w:t>
      </w:r>
      <w:r w:rsidRPr="00891C13">
        <w:rPr>
          <w:rFonts w:ascii="Cambria" w:hAnsi="Cambria" w:cs="Times New Roman"/>
          <w:color w:val="4F81BD" w:themeColor="accent1"/>
        </w:rPr>
        <w:t xml:space="preserve"> n'est pas incompatible avec l'article 6</w:t>
      </w:r>
      <w:r w:rsidR="00DA16CC">
        <w:rPr>
          <w:rFonts w:ascii="Cambria" w:hAnsi="Cambria" w:cs="Times New Roman"/>
          <w:color w:val="4F81BD" w:themeColor="accent1"/>
        </w:rPr>
        <w:t xml:space="preserve"> </w:t>
      </w:r>
      <w:r w:rsidRPr="00891C13">
        <w:rPr>
          <w:rFonts w:ascii="Cambria" w:hAnsi="Cambria" w:cs="Times New Roman"/>
          <w:color w:val="4F81BD" w:themeColor="accent1"/>
        </w:rPr>
        <w:t xml:space="preserve">§1. </w:t>
      </w:r>
    </w:p>
    <w:p w14:paraId="447C9972" w14:textId="77777777" w:rsidR="00914188" w:rsidRDefault="00914188" w:rsidP="00891C13">
      <w:pPr>
        <w:widowControl w:val="0"/>
        <w:autoSpaceDE w:val="0"/>
        <w:autoSpaceDN w:val="0"/>
        <w:adjustRightInd w:val="0"/>
        <w:jc w:val="both"/>
        <w:rPr>
          <w:rFonts w:ascii="Cambria" w:hAnsi="Cambria" w:cs="Times New Roman"/>
          <w:color w:val="4F81BD" w:themeColor="accent1"/>
        </w:rPr>
      </w:pPr>
    </w:p>
    <w:p w14:paraId="7B177D6E" w14:textId="77777777" w:rsidR="00914188"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Cependant, elle ajoute que pour que le tribunal soit conforme aux exigences retenues</w:t>
      </w:r>
      <w:r w:rsidR="00AD43ED">
        <w:rPr>
          <w:rFonts w:ascii="Cambria" w:hAnsi="Cambria" w:cs="Times New Roman"/>
          <w:color w:val="4F81BD" w:themeColor="accent1"/>
        </w:rPr>
        <w:t>,</w:t>
      </w:r>
      <w:r w:rsidRPr="00891C13">
        <w:rPr>
          <w:rFonts w:ascii="Cambria" w:hAnsi="Cambria" w:cs="Times New Roman"/>
          <w:color w:val="4F81BD" w:themeColor="accent1"/>
        </w:rPr>
        <w:t xml:space="preserve"> encore faut-il que le mode de désignation des membres, la durée de leur mandat et certaines garanties spécifiques les mettent à l'abri d'éventuelles pressions du pouvoir exécutif au sein duquel ils s'insèrent. </w:t>
      </w:r>
    </w:p>
    <w:p w14:paraId="406C3164" w14:textId="4F33EF0E"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Ainsi</w:t>
      </w:r>
      <w:r w:rsidR="00AD43ED">
        <w:rPr>
          <w:rFonts w:ascii="Cambria" w:hAnsi="Cambria" w:cs="Times New Roman"/>
          <w:color w:val="4F81BD" w:themeColor="accent1"/>
        </w:rPr>
        <w:t>,</w:t>
      </w:r>
      <w:r w:rsidRPr="00891C13">
        <w:rPr>
          <w:rFonts w:ascii="Cambria" w:hAnsi="Cambria" w:cs="Times New Roman"/>
          <w:color w:val="4F81BD" w:themeColor="accent1"/>
        </w:rPr>
        <w:t xml:space="preserve"> la Cour de </w:t>
      </w:r>
      <w:r w:rsidR="00AD43ED">
        <w:rPr>
          <w:rFonts w:ascii="Cambria" w:hAnsi="Cambria" w:cs="Times New Roman"/>
          <w:color w:val="4F81BD" w:themeColor="accent1"/>
        </w:rPr>
        <w:t>S</w:t>
      </w:r>
      <w:r w:rsidRPr="00891C13">
        <w:rPr>
          <w:rFonts w:ascii="Cambria" w:hAnsi="Cambria" w:cs="Times New Roman"/>
          <w:color w:val="4F81BD" w:themeColor="accent1"/>
        </w:rPr>
        <w:t>trasbourg a ex</w:t>
      </w:r>
      <w:r w:rsidR="00AD43ED">
        <w:rPr>
          <w:rFonts w:ascii="Cambria" w:hAnsi="Cambria" w:cs="Times New Roman"/>
          <w:color w:val="4F81BD" w:themeColor="accent1"/>
        </w:rPr>
        <w:t>primé dans divers arrêts</w:t>
      </w:r>
      <w:r w:rsidR="004F2ED8">
        <w:rPr>
          <w:rFonts w:ascii="Cambria" w:hAnsi="Cambria" w:cs="Times New Roman"/>
          <w:color w:val="4F81BD" w:themeColor="accent1"/>
        </w:rPr>
        <w:t>,</w:t>
      </w:r>
      <w:r w:rsidR="00AD43ED">
        <w:rPr>
          <w:rFonts w:ascii="Cambria" w:hAnsi="Cambria" w:cs="Times New Roman"/>
          <w:color w:val="4F81BD" w:themeColor="accent1"/>
        </w:rPr>
        <w:t xml:space="preserve"> et not</w:t>
      </w:r>
      <w:r w:rsidRPr="00891C13">
        <w:rPr>
          <w:rFonts w:ascii="Cambria" w:hAnsi="Cambria" w:cs="Times New Roman"/>
          <w:color w:val="4F81BD" w:themeColor="accent1"/>
        </w:rPr>
        <w:t>am</w:t>
      </w:r>
      <w:r w:rsidR="00AD43ED">
        <w:rPr>
          <w:rFonts w:ascii="Cambria" w:hAnsi="Cambria" w:cs="Times New Roman"/>
          <w:color w:val="4F81BD" w:themeColor="accent1"/>
        </w:rPr>
        <w:t>m</w:t>
      </w:r>
      <w:r w:rsidRPr="00891C13">
        <w:rPr>
          <w:rFonts w:ascii="Cambria" w:hAnsi="Cambria" w:cs="Times New Roman"/>
          <w:color w:val="4F81BD" w:themeColor="accent1"/>
        </w:rPr>
        <w:t xml:space="preserve">ent dans sa </w:t>
      </w:r>
      <w:r w:rsidR="00AD43ED">
        <w:rPr>
          <w:rFonts w:ascii="Cambria" w:hAnsi="Cambria" w:cs="Times New Roman"/>
          <w:color w:val="4F81BD" w:themeColor="accent1"/>
        </w:rPr>
        <w:t xml:space="preserve">décision </w:t>
      </w:r>
      <w:r w:rsidRPr="00891C13">
        <w:rPr>
          <w:rFonts w:ascii="Cambria" w:hAnsi="Cambria" w:cs="Times New Roman"/>
          <w:color w:val="4F81BD" w:themeColor="accent1"/>
        </w:rPr>
        <w:t>du 28 octobre 1984</w:t>
      </w:r>
      <w:r w:rsidR="00AD43ED">
        <w:rPr>
          <w:rFonts w:ascii="Cambria" w:hAnsi="Cambria" w:cs="Times New Roman"/>
          <w:color w:val="4F81BD" w:themeColor="accent1"/>
        </w:rPr>
        <w:t xml:space="preserve"> </w:t>
      </w:r>
      <w:r w:rsidR="00AD43ED" w:rsidRPr="004F2ED8">
        <w:rPr>
          <w:rFonts w:ascii="Cambria" w:hAnsi="Cambria" w:cs="Times New Roman"/>
          <w:color w:val="4F81BD" w:themeColor="accent1"/>
          <w:u w:val="single"/>
        </w:rPr>
        <w:t>Sramek c</w:t>
      </w:r>
      <w:r w:rsidRPr="004F2ED8">
        <w:rPr>
          <w:rFonts w:ascii="Cambria" w:hAnsi="Cambria" w:cs="Times New Roman"/>
          <w:color w:val="4F81BD" w:themeColor="accent1"/>
          <w:u w:val="single"/>
        </w:rPr>
        <w:t xml:space="preserve">/ </w:t>
      </w:r>
      <w:r w:rsidR="004F2ED8">
        <w:rPr>
          <w:rFonts w:ascii="Cambria" w:hAnsi="Cambria" w:cs="Times New Roman"/>
          <w:color w:val="4F81BD" w:themeColor="accent1"/>
          <w:u w:val="single"/>
        </w:rPr>
        <w:t>Autriche</w:t>
      </w:r>
      <w:r w:rsidR="004F2ED8" w:rsidRPr="004F2ED8">
        <w:rPr>
          <w:rFonts w:ascii="Cambria" w:hAnsi="Cambria" w:cs="Times New Roman"/>
          <w:color w:val="4F81BD" w:themeColor="accent1"/>
        </w:rPr>
        <w:t>,</w:t>
      </w:r>
      <w:r w:rsidRPr="00891C13">
        <w:rPr>
          <w:rFonts w:ascii="Cambria" w:hAnsi="Cambria" w:cs="Times New Roman"/>
          <w:color w:val="4F81BD" w:themeColor="accent1"/>
        </w:rPr>
        <w:t xml:space="preserve"> que « </w:t>
      </w:r>
      <w:r w:rsidRPr="004F2ED8">
        <w:rPr>
          <w:rFonts w:ascii="Cambria" w:hAnsi="Cambria" w:cs="Times New Roman"/>
          <w:i/>
          <w:color w:val="4F81BD" w:themeColor="accent1"/>
        </w:rPr>
        <w:t>d</w:t>
      </w:r>
      <w:r w:rsidRPr="004F2ED8">
        <w:rPr>
          <w:rFonts w:ascii="Cambria" w:hAnsi="Cambria" w:cs="Times New Roman"/>
          <w:i/>
          <w:iCs/>
          <w:color w:val="4F81BD" w:themeColor="accent1"/>
        </w:rPr>
        <w:t xml:space="preserve">ès </w:t>
      </w:r>
      <w:r w:rsidRPr="00891C13">
        <w:rPr>
          <w:rFonts w:ascii="Cambria" w:hAnsi="Cambria" w:cs="Times New Roman"/>
          <w:i/>
          <w:iCs/>
          <w:color w:val="4F81BD" w:themeColor="accent1"/>
        </w:rPr>
        <w:t xml:space="preserve">lors qu'un tribunal compte parmi ses membres une personne se trouvant </w:t>
      </w:r>
      <w:r w:rsidRPr="00C74AFF">
        <w:rPr>
          <w:rFonts w:ascii="Cambria" w:hAnsi="Cambria" w:cs="Times New Roman"/>
          <w:iCs/>
          <w:color w:val="4F81BD" w:themeColor="accent1"/>
        </w:rPr>
        <w:t xml:space="preserve">(...) </w:t>
      </w:r>
      <w:r w:rsidRPr="00891C13">
        <w:rPr>
          <w:rFonts w:ascii="Cambria" w:hAnsi="Cambria" w:cs="Times New Roman"/>
          <w:i/>
          <w:iCs/>
          <w:color w:val="4F81BD" w:themeColor="accent1"/>
        </w:rPr>
        <w:t>dans un état de subordination de fonctions et de services par rapport à l'une des parties, les justiciables peuvent légitimement douter de l'indépendance de cette personne. Pareille situation met gravement en cause la confiance que les juridictions se doivent d'inspirer dans une société démocratique </w:t>
      </w:r>
      <w:r w:rsidRPr="00891C13">
        <w:rPr>
          <w:rFonts w:ascii="Cambria" w:hAnsi="Cambria" w:cs="Times New Roman"/>
          <w:color w:val="4F81BD" w:themeColor="accent1"/>
        </w:rPr>
        <w:t xml:space="preserve">». </w:t>
      </w:r>
    </w:p>
    <w:p w14:paraId="11AFA7BE" w14:textId="77777777" w:rsidR="00891C13" w:rsidRPr="00891C13" w:rsidRDefault="00891C13" w:rsidP="00891C13">
      <w:pPr>
        <w:widowControl w:val="0"/>
        <w:autoSpaceDE w:val="0"/>
        <w:autoSpaceDN w:val="0"/>
        <w:adjustRightInd w:val="0"/>
        <w:jc w:val="both"/>
        <w:rPr>
          <w:rFonts w:ascii="Cambria" w:hAnsi="Cambria" w:cs="Times New Roman"/>
          <w:color w:val="4F81BD" w:themeColor="accent1"/>
        </w:rPr>
      </w:pPr>
    </w:p>
    <w:p w14:paraId="1AC2D268" w14:textId="0DF1FD55"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Au regard des exigences de l'article 6</w:t>
      </w:r>
      <w:r w:rsidR="00764361">
        <w:rPr>
          <w:rFonts w:ascii="Cambria" w:hAnsi="Cambria" w:cs="Times New Roman"/>
          <w:color w:val="4F81BD" w:themeColor="accent1"/>
        </w:rPr>
        <w:t xml:space="preserve"> </w:t>
      </w:r>
      <w:r w:rsidRPr="00891C13">
        <w:rPr>
          <w:rFonts w:ascii="Cambria" w:hAnsi="Cambria" w:cs="Times New Roman"/>
          <w:color w:val="4F81BD" w:themeColor="accent1"/>
        </w:rPr>
        <w:t xml:space="preserve">§1 et de la jurisprudence de la </w:t>
      </w:r>
      <w:r w:rsidR="003A1AEC">
        <w:rPr>
          <w:rFonts w:ascii="Cambria" w:hAnsi="Cambria" w:cs="Times New Roman"/>
          <w:color w:val="4F81BD" w:themeColor="accent1"/>
        </w:rPr>
        <w:t>C</w:t>
      </w:r>
      <w:r w:rsidRPr="00891C13">
        <w:rPr>
          <w:rFonts w:ascii="Cambria" w:hAnsi="Cambria" w:cs="Times New Roman"/>
          <w:color w:val="4F81BD" w:themeColor="accent1"/>
        </w:rPr>
        <w:t>EDH</w:t>
      </w:r>
      <w:r w:rsidR="003A1AEC">
        <w:rPr>
          <w:rFonts w:ascii="Cambria" w:hAnsi="Cambria" w:cs="Times New Roman"/>
          <w:color w:val="4F81BD" w:themeColor="accent1"/>
        </w:rPr>
        <w:t>,</w:t>
      </w:r>
      <w:r w:rsidRPr="00891C13">
        <w:rPr>
          <w:rFonts w:ascii="Cambria" w:hAnsi="Cambria" w:cs="Times New Roman"/>
          <w:color w:val="4F81BD" w:themeColor="accent1"/>
        </w:rPr>
        <w:t xml:space="preserve"> la Cour de cassation a dans ces deux affaires relevé deux grandes anomalies. </w:t>
      </w:r>
    </w:p>
    <w:p w14:paraId="3F0EA3F7" w14:textId="2016ECD1"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La première et certainement la plus importante est celle de la présidence des tribunaux de l'incapacité. Cette présidence était confiée à un fonctionnaire</w:t>
      </w:r>
      <w:r w:rsidR="002603EB">
        <w:rPr>
          <w:rFonts w:ascii="Cambria" w:hAnsi="Cambria" w:cs="Times New Roman"/>
          <w:color w:val="4F81BD" w:themeColor="accent1"/>
        </w:rPr>
        <w:t>.</w:t>
      </w:r>
      <w:r w:rsidRPr="00891C13">
        <w:rPr>
          <w:rFonts w:ascii="Cambria" w:hAnsi="Cambria" w:cs="Times New Roman"/>
          <w:color w:val="4F81BD" w:themeColor="accent1"/>
        </w:rPr>
        <w:t xml:space="preserve"> </w:t>
      </w:r>
      <w:r w:rsidR="002603EB">
        <w:rPr>
          <w:rFonts w:ascii="Cambria" w:hAnsi="Cambria" w:cs="Times New Roman"/>
          <w:color w:val="4F81BD" w:themeColor="accent1"/>
        </w:rPr>
        <w:t>Or</w:t>
      </w:r>
      <w:r w:rsidRPr="00891C13">
        <w:rPr>
          <w:rFonts w:ascii="Cambria" w:hAnsi="Cambria" w:cs="Times New Roman"/>
          <w:color w:val="4F81BD" w:themeColor="accent1"/>
        </w:rPr>
        <w:t>, ce fonctionnaire ne bénéficiait d'aucune garantie statutaire et se trouvait soumis à une subordination hiérarchique. De plus, lui même</w:t>
      </w:r>
      <w:r w:rsidR="0011627E">
        <w:rPr>
          <w:rFonts w:ascii="Cambria" w:hAnsi="Cambria" w:cs="Times New Roman"/>
          <w:color w:val="4F81BD" w:themeColor="accent1"/>
        </w:rPr>
        <w:t>,</w:t>
      </w:r>
      <w:r w:rsidRPr="00891C13">
        <w:rPr>
          <w:rFonts w:ascii="Cambria" w:hAnsi="Cambria" w:cs="Times New Roman"/>
          <w:color w:val="4F81BD" w:themeColor="accent1"/>
        </w:rPr>
        <w:t xml:space="preserve"> en qualité de directeur régional des affaires sanitaires et sociales</w:t>
      </w:r>
      <w:r w:rsidR="0011627E">
        <w:rPr>
          <w:rFonts w:ascii="Cambria" w:hAnsi="Cambria" w:cs="Times New Roman"/>
          <w:color w:val="4F81BD" w:themeColor="accent1"/>
        </w:rPr>
        <w:t xml:space="preserve">, </w:t>
      </w:r>
      <w:r w:rsidR="008C3706">
        <w:rPr>
          <w:rFonts w:ascii="Cambria" w:hAnsi="Cambria" w:cs="Times New Roman"/>
          <w:color w:val="4F81BD" w:themeColor="accent1"/>
        </w:rPr>
        <w:t>exerç</w:t>
      </w:r>
      <w:r w:rsidR="008C3706" w:rsidRPr="00891C13">
        <w:rPr>
          <w:rFonts w:ascii="Cambria" w:hAnsi="Cambria" w:cs="Times New Roman"/>
          <w:color w:val="4F81BD" w:themeColor="accent1"/>
        </w:rPr>
        <w:t>ait</w:t>
      </w:r>
      <w:r w:rsidRPr="00891C13">
        <w:rPr>
          <w:rFonts w:ascii="Cambria" w:hAnsi="Cambria" w:cs="Times New Roman"/>
          <w:color w:val="4F81BD" w:themeColor="accent1"/>
        </w:rPr>
        <w:t xml:space="preserve"> une tutelle sur les caisses primaires de Sécurité sociale de sa circonscription. La Cour de cassation a émis un doute sur sa capacité à pouvoir juger avec impartialité un conflit individuel entre un assuré et une caisse primaire. </w:t>
      </w:r>
    </w:p>
    <w:p w14:paraId="2FB51FCF" w14:textId="77777777" w:rsidR="00891C13" w:rsidRPr="00891C13" w:rsidRDefault="00891C13" w:rsidP="00891C13">
      <w:pPr>
        <w:widowControl w:val="0"/>
        <w:autoSpaceDE w:val="0"/>
        <w:autoSpaceDN w:val="0"/>
        <w:adjustRightInd w:val="0"/>
        <w:jc w:val="both"/>
        <w:rPr>
          <w:rFonts w:ascii="Cambria" w:hAnsi="Cambria" w:cs="Times New Roman"/>
          <w:color w:val="4F81BD" w:themeColor="accent1"/>
        </w:rPr>
      </w:pPr>
    </w:p>
    <w:p w14:paraId="52922350" w14:textId="33F899EB"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 xml:space="preserve">La deuxième anomalie qu'elle relève touche les autres membres du tribunal de l'incapacité. En effet, </w:t>
      </w:r>
      <w:r w:rsidR="00B527A8">
        <w:rPr>
          <w:rFonts w:ascii="Cambria" w:hAnsi="Cambria" w:cs="Times New Roman"/>
          <w:color w:val="4F81BD" w:themeColor="accent1"/>
        </w:rPr>
        <w:t>à</w:t>
      </w:r>
      <w:r w:rsidRPr="00891C13">
        <w:rPr>
          <w:rFonts w:ascii="Cambria" w:hAnsi="Cambria" w:cs="Times New Roman"/>
          <w:color w:val="4F81BD" w:themeColor="accent1"/>
        </w:rPr>
        <w:t xml:space="preserve"> l'exception des a</w:t>
      </w:r>
      <w:r w:rsidR="00DF1569">
        <w:rPr>
          <w:rFonts w:ascii="Cambria" w:hAnsi="Cambria" w:cs="Times New Roman"/>
          <w:color w:val="4F81BD" w:themeColor="accent1"/>
        </w:rPr>
        <w:t>ssesseurs visés par l'article R</w:t>
      </w:r>
      <w:r w:rsidRPr="00891C13">
        <w:rPr>
          <w:rFonts w:ascii="Cambria" w:hAnsi="Cambria" w:cs="Times New Roman"/>
          <w:color w:val="4F81BD" w:themeColor="accent1"/>
        </w:rPr>
        <w:t>143-2 du Code de la Sécurité sociale, leur garantissant une certaines indépendance</w:t>
      </w:r>
      <w:r w:rsidR="00AE4142">
        <w:rPr>
          <w:rFonts w:ascii="Cambria" w:hAnsi="Cambria" w:cs="Times New Roman"/>
          <w:color w:val="4F81BD" w:themeColor="accent1"/>
        </w:rPr>
        <w:t>,</w:t>
      </w:r>
      <w:r w:rsidRPr="00891C13">
        <w:rPr>
          <w:rFonts w:ascii="Cambria" w:hAnsi="Cambria" w:cs="Times New Roman"/>
          <w:color w:val="4F81BD" w:themeColor="accent1"/>
        </w:rPr>
        <w:t xml:space="preserve"> les autres membres ne bénéficiaient d'aucune garantie. Aucune disposition réglementaire ou législative ne fixait la durée de leur mandat, ne leur procuraient de garanties pour les mettre à l'abri d'éventuelles pressions. Pire encore, l'autorité de nomination pouvait les remplacer à tout moment. </w:t>
      </w:r>
    </w:p>
    <w:p w14:paraId="4B61891B" w14:textId="77777777" w:rsidR="00891C13" w:rsidRPr="00891C13" w:rsidRDefault="00891C13" w:rsidP="00891C13">
      <w:pPr>
        <w:widowControl w:val="0"/>
        <w:autoSpaceDE w:val="0"/>
        <w:autoSpaceDN w:val="0"/>
        <w:adjustRightInd w:val="0"/>
        <w:jc w:val="both"/>
        <w:rPr>
          <w:rFonts w:ascii="Cambria" w:hAnsi="Cambria" w:cs="Times New Roman"/>
          <w:color w:val="4F81BD" w:themeColor="accent1"/>
        </w:rPr>
      </w:pPr>
    </w:p>
    <w:p w14:paraId="77D5B0DD" w14:textId="4A2B2A85" w:rsidR="00891C13" w:rsidRPr="00891C13"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 xml:space="preserve">Au regard de ces éléments de droit et en se fondant sur les exigences de la jurisprudence de la </w:t>
      </w:r>
      <w:r w:rsidR="001570DD">
        <w:rPr>
          <w:rFonts w:ascii="Cambria" w:hAnsi="Cambria" w:cs="Times New Roman"/>
          <w:color w:val="4F81BD" w:themeColor="accent1"/>
        </w:rPr>
        <w:t>C</w:t>
      </w:r>
      <w:r w:rsidRPr="00891C13">
        <w:rPr>
          <w:rFonts w:ascii="Cambria" w:hAnsi="Cambria" w:cs="Times New Roman"/>
          <w:color w:val="4F81BD" w:themeColor="accent1"/>
        </w:rPr>
        <w:t xml:space="preserve">EDH concernant </w:t>
      </w:r>
      <w:r w:rsidR="00B724AF">
        <w:rPr>
          <w:rFonts w:ascii="Cambria" w:hAnsi="Cambria" w:cs="Times New Roman"/>
          <w:color w:val="4F81BD" w:themeColor="accent1"/>
        </w:rPr>
        <w:t xml:space="preserve">les </w:t>
      </w:r>
      <w:r w:rsidRPr="00891C13">
        <w:rPr>
          <w:rFonts w:ascii="Cambria" w:hAnsi="Cambria" w:cs="Times New Roman"/>
          <w:color w:val="4F81BD" w:themeColor="accent1"/>
        </w:rPr>
        <w:t>critères d'impartialité et d'indépendance</w:t>
      </w:r>
      <w:r w:rsidR="00B724AF">
        <w:rPr>
          <w:rFonts w:ascii="Cambria" w:hAnsi="Cambria" w:cs="Times New Roman"/>
          <w:color w:val="4F81BD" w:themeColor="accent1"/>
        </w:rPr>
        <w:t>,</w:t>
      </w:r>
      <w:r w:rsidRPr="00891C13">
        <w:rPr>
          <w:rFonts w:ascii="Cambria" w:hAnsi="Cambria" w:cs="Times New Roman"/>
          <w:color w:val="4F81BD" w:themeColor="accent1"/>
        </w:rPr>
        <w:t xml:space="preserve"> la Cour de cassation a désavoué l'organisation des tribunaux du contentieux de l'incapacité. Elle a repris la théorie de l'apparence d'indépendance et de l'impartialité objective et en a conclu</w:t>
      </w:r>
      <w:r w:rsidR="00C4545F">
        <w:rPr>
          <w:rFonts w:ascii="Cambria" w:hAnsi="Cambria" w:cs="Times New Roman"/>
          <w:color w:val="4F81BD" w:themeColor="accent1"/>
        </w:rPr>
        <w:t>,</w:t>
      </w:r>
      <w:r w:rsidRPr="00891C13">
        <w:rPr>
          <w:rFonts w:ascii="Cambria" w:hAnsi="Cambria" w:cs="Times New Roman"/>
          <w:color w:val="4F81BD" w:themeColor="accent1"/>
        </w:rPr>
        <w:t xml:space="preserve"> pour les deux affaires</w:t>
      </w:r>
      <w:r w:rsidR="00C4545F">
        <w:rPr>
          <w:rFonts w:ascii="Cambria" w:hAnsi="Cambria" w:cs="Times New Roman"/>
          <w:color w:val="4F81BD" w:themeColor="accent1"/>
        </w:rPr>
        <w:t>,</w:t>
      </w:r>
      <w:r w:rsidRPr="00891C13">
        <w:rPr>
          <w:rFonts w:ascii="Cambria" w:hAnsi="Cambria" w:cs="Times New Roman"/>
          <w:color w:val="4F81BD" w:themeColor="accent1"/>
        </w:rPr>
        <w:t xml:space="preserve"> à la violation de l'article 6</w:t>
      </w:r>
      <w:r w:rsidR="00C4545F">
        <w:rPr>
          <w:rFonts w:ascii="Cambria" w:hAnsi="Cambria" w:cs="Times New Roman"/>
          <w:color w:val="4F81BD" w:themeColor="accent1"/>
        </w:rPr>
        <w:t xml:space="preserve"> </w:t>
      </w:r>
      <w:r w:rsidRPr="00891C13">
        <w:rPr>
          <w:rFonts w:ascii="Cambria" w:hAnsi="Cambria" w:cs="Times New Roman"/>
          <w:color w:val="4F81BD" w:themeColor="accent1"/>
        </w:rPr>
        <w:t>§1</w:t>
      </w:r>
      <w:r w:rsidR="00C4545F">
        <w:rPr>
          <w:rFonts w:ascii="Cambria" w:hAnsi="Cambria" w:cs="Times New Roman"/>
          <w:color w:val="4F81BD" w:themeColor="accent1"/>
        </w:rPr>
        <w:t xml:space="preserve">, </w:t>
      </w:r>
      <w:r w:rsidRPr="00891C13">
        <w:rPr>
          <w:rFonts w:ascii="Cambria" w:hAnsi="Cambria" w:cs="Times New Roman"/>
          <w:color w:val="4F81BD" w:themeColor="accent1"/>
        </w:rPr>
        <w:t>relevant que « </w:t>
      </w:r>
      <w:r w:rsidRPr="00891C13">
        <w:rPr>
          <w:rFonts w:ascii="Cambria" w:hAnsi="Cambria" w:cs="Times New Roman"/>
          <w:i/>
          <w:iCs/>
          <w:color w:val="4F81BD" w:themeColor="accent1"/>
        </w:rPr>
        <w:t>ces éléments étaient de nature à faire naître, dans l'esprit du justiciable, des doutes légitimes sur l'indépendance et l'impartialité du tribunal </w:t>
      </w:r>
      <w:r w:rsidRPr="00891C13">
        <w:rPr>
          <w:rFonts w:ascii="Cambria" w:hAnsi="Cambria" w:cs="Times New Roman"/>
          <w:color w:val="4F81BD" w:themeColor="accent1"/>
        </w:rPr>
        <w:t>».</w:t>
      </w:r>
    </w:p>
    <w:p w14:paraId="5BEF093E" w14:textId="77777777" w:rsidR="00891C13" w:rsidRPr="00891C13" w:rsidRDefault="00891C13" w:rsidP="00891C13">
      <w:pPr>
        <w:widowControl w:val="0"/>
        <w:autoSpaceDE w:val="0"/>
        <w:autoSpaceDN w:val="0"/>
        <w:adjustRightInd w:val="0"/>
        <w:jc w:val="both"/>
        <w:rPr>
          <w:rFonts w:ascii="Cambria" w:hAnsi="Cambria" w:cs="Times New Roman"/>
          <w:color w:val="4F81BD" w:themeColor="accent1"/>
        </w:rPr>
      </w:pPr>
    </w:p>
    <w:p w14:paraId="21442DBA" w14:textId="670D242B" w:rsidR="00266B24" w:rsidRDefault="00891C13" w:rsidP="00891C13">
      <w:pPr>
        <w:widowControl w:val="0"/>
        <w:autoSpaceDE w:val="0"/>
        <w:autoSpaceDN w:val="0"/>
        <w:adjustRightInd w:val="0"/>
        <w:jc w:val="both"/>
        <w:rPr>
          <w:rFonts w:ascii="Cambria" w:hAnsi="Cambria" w:cs="Times New Roman"/>
          <w:color w:val="4F81BD" w:themeColor="accent1"/>
        </w:rPr>
      </w:pPr>
      <w:r w:rsidRPr="00891C13">
        <w:rPr>
          <w:rFonts w:ascii="Cambria" w:hAnsi="Cambria" w:cs="Times New Roman"/>
          <w:color w:val="4F81BD" w:themeColor="accent1"/>
        </w:rPr>
        <w:t xml:space="preserve">Deux ans plus tard, la Cour de cassation a fait le même constat concernant </w:t>
      </w:r>
      <w:r w:rsidR="00C4545F">
        <w:rPr>
          <w:rFonts w:ascii="Cambria" w:hAnsi="Cambria" w:cs="Times New Roman"/>
          <w:color w:val="4F81BD" w:themeColor="accent1"/>
        </w:rPr>
        <w:t xml:space="preserve">la </w:t>
      </w:r>
      <w:r w:rsidRPr="00891C13">
        <w:rPr>
          <w:rFonts w:ascii="Cambria" w:hAnsi="Cambria" w:cs="Times New Roman"/>
          <w:color w:val="4F81BD" w:themeColor="accent1"/>
        </w:rPr>
        <w:t>CNITAT.</w:t>
      </w:r>
      <w:r w:rsidR="00C4545F">
        <w:rPr>
          <w:rFonts w:ascii="Cambria" w:hAnsi="Cambria" w:cs="Times New Roman"/>
          <w:color w:val="4F81BD" w:themeColor="accent1"/>
        </w:rPr>
        <w:t xml:space="preserve"> </w:t>
      </w:r>
    </w:p>
    <w:p w14:paraId="5DF357B5" w14:textId="77777777" w:rsidR="00B874D8" w:rsidRDefault="00B874D8" w:rsidP="00891C13">
      <w:pPr>
        <w:widowControl w:val="0"/>
        <w:autoSpaceDE w:val="0"/>
        <w:autoSpaceDN w:val="0"/>
        <w:adjustRightInd w:val="0"/>
        <w:jc w:val="both"/>
        <w:rPr>
          <w:rFonts w:ascii="Cambria" w:hAnsi="Cambria" w:cs="Times New Roman"/>
          <w:color w:val="4F81BD" w:themeColor="accent1"/>
        </w:rPr>
      </w:pPr>
    </w:p>
    <w:p w14:paraId="69E458F2" w14:textId="72DBA85D" w:rsidR="00B874D8" w:rsidRDefault="00B874D8" w:rsidP="00891C13">
      <w:pPr>
        <w:widowControl w:val="0"/>
        <w:autoSpaceDE w:val="0"/>
        <w:autoSpaceDN w:val="0"/>
        <w:adjustRightInd w:val="0"/>
        <w:jc w:val="both"/>
        <w:rPr>
          <w:rFonts w:ascii="Cambria" w:hAnsi="Cambria" w:cs="Times New Roman"/>
        </w:rPr>
      </w:pPr>
      <w:r w:rsidRPr="00B874D8">
        <w:rPr>
          <w:rFonts w:ascii="Cambria" w:hAnsi="Cambria" w:cs="Times New Roman"/>
        </w:rPr>
        <w:t>2/ La CNITAT</w:t>
      </w:r>
      <w:r>
        <w:rPr>
          <w:rFonts w:ascii="Cambria" w:hAnsi="Cambria" w:cs="Times New Roman"/>
        </w:rPr>
        <w:t xml:space="preserve"> face au principe d’indépendance et d’impartialité. </w:t>
      </w:r>
    </w:p>
    <w:p w14:paraId="384E0324" w14:textId="77777777" w:rsidR="00E66667" w:rsidRDefault="00E66667" w:rsidP="00891C13">
      <w:pPr>
        <w:widowControl w:val="0"/>
        <w:autoSpaceDE w:val="0"/>
        <w:autoSpaceDN w:val="0"/>
        <w:adjustRightInd w:val="0"/>
        <w:jc w:val="both"/>
        <w:rPr>
          <w:rFonts w:ascii="Cambria" w:hAnsi="Cambria" w:cs="Times New Roman"/>
        </w:rPr>
      </w:pPr>
    </w:p>
    <w:p w14:paraId="2564A435" w14:textId="3C4F0D3A" w:rsidR="00314047" w:rsidRPr="00314047"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Il paraît important de rappeler</w:t>
      </w:r>
      <w:r w:rsidR="0088045C">
        <w:rPr>
          <w:rFonts w:ascii="Cambria" w:hAnsi="Cambria" w:cs="Times New Roman"/>
          <w:color w:val="4F81BD" w:themeColor="accent1"/>
        </w:rPr>
        <w:t>,</w:t>
      </w:r>
      <w:r w:rsidRPr="00314047">
        <w:rPr>
          <w:rFonts w:ascii="Cambria" w:hAnsi="Cambria" w:cs="Times New Roman"/>
          <w:color w:val="4F81BD" w:themeColor="accent1"/>
        </w:rPr>
        <w:t xml:space="preserve"> dans un premier </w:t>
      </w:r>
      <w:r w:rsidR="0088045C">
        <w:rPr>
          <w:rFonts w:ascii="Cambria" w:hAnsi="Cambria" w:cs="Times New Roman"/>
          <w:color w:val="4F81BD" w:themeColor="accent1"/>
        </w:rPr>
        <w:t xml:space="preserve">temps, </w:t>
      </w:r>
      <w:r w:rsidRPr="00314047">
        <w:rPr>
          <w:rFonts w:ascii="Cambria" w:hAnsi="Cambria" w:cs="Times New Roman"/>
          <w:color w:val="4F81BD" w:themeColor="accent1"/>
        </w:rPr>
        <w:t xml:space="preserve">la composition des CNITAT. </w:t>
      </w:r>
    </w:p>
    <w:p w14:paraId="08891F0E" w14:textId="4BAC1310" w:rsidR="00314047" w:rsidRPr="00314047" w:rsidRDefault="0088045C" w:rsidP="00314047">
      <w:pPr>
        <w:widowControl w:val="0"/>
        <w:autoSpaceDE w:val="0"/>
        <w:autoSpaceDN w:val="0"/>
        <w:adjustRightInd w:val="0"/>
        <w:jc w:val="both"/>
        <w:rPr>
          <w:rFonts w:ascii="Cambria" w:hAnsi="Cambria" w:cs="Times New Roman"/>
          <w:color w:val="4F81BD" w:themeColor="accent1"/>
        </w:rPr>
      </w:pPr>
      <w:r>
        <w:rPr>
          <w:rFonts w:ascii="Cambria" w:hAnsi="Cambria" w:cs="Times New Roman"/>
          <w:color w:val="4F81BD" w:themeColor="accent1"/>
        </w:rPr>
        <w:t>L'</w:t>
      </w:r>
      <w:r w:rsidR="00314047" w:rsidRPr="00314047">
        <w:rPr>
          <w:rFonts w:ascii="Cambria" w:hAnsi="Cambria" w:cs="Times New Roman"/>
          <w:color w:val="4F81BD" w:themeColor="accent1"/>
        </w:rPr>
        <w:t>ancien article L143-3 du Code de la Sécurité sociale énumérait les différentes catégories de personnes qui composaient</w:t>
      </w:r>
      <w:r w:rsidR="000F4E45">
        <w:rPr>
          <w:rFonts w:ascii="Cambria" w:hAnsi="Cambria" w:cs="Times New Roman"/>
          <w:color w:val="4F81BD" w:themeColor="accent1"/>
        </w:rPr>
        <w:t xml:space="preserve"> la CNITAT. L'ancien article R</w:t>
      </w:r>
      <w:r w:rsidR="00A37C8B">
        <w:rPr>
          <w:rFonts w:ascii="Cambria" w:hAnsi="Cambria" w:cs="Times New Roman"/>
          <w:color w:val="4F81BD" w:themeColor="accent1"/>
        </w:rPr>
        <w:t>143</w:t>
      </w:r>
      <w:r w:rsidR="00314047" w:rsidRPr="00314047">
        <w:rPr>
          <w:rFonts w:ascii="Cambria" w:hAnsi="Cambria" w:cs="Times New Roman"/>
          <w:color w:val="4F81BD" w:themeColor="accent1"/>
        </w:rPr>
        <w:t xml:space="preserve">-15 </w:t>
      </w:r>
      <w:r w:rsidR="00627316">
        <w:rPr>
          <w:rFonts w:ascii="Cambria" w:hAnsi="Cambria" w:cs="Times New Roman"/>
          <w:color w:val="4F81BD" w:themeColor="accent1"/>
        </w:rPr>
        <w:t xml:space="preserve">du même code précisait </w:t>
      </w:r>
      <w:r w:rsidR="00314047" w:rsidRPr="00314047">
        <w:rPr>
          <w:rFonts w:ascii="Cambria" w:hAnsi="Cambria" w:cs="Times New Roman"/>
          <w:color w:val="4F81BD" w:themeColor="accent1"/>
        </w:rPr>
        <w:t xml:space="preserve">quant à lui les modalités de leur désignation. </w:t>
      </w:r>
    </w:p>
    <w:p w14:paraId="5CD4FF5B" w14:textId="77777777" w:rsidR="00CB00F5" w:rsidRDefault="00CB00F5" w:rsidP="00314047">
      <w:pPr>
        <w:widowControl w:val="0"/>
        <w:autoSpaceDE w:val="0"/>
        <w:autoSpaceDN w:val="0"/>
        <w:adjustRightInd w:val="0"/>
        <w:jc w:val="both"/>
        <w:rPr>
          <w:rFonts w:ascii="Cambria" w:hAnsi="Cambria" w:cs="Times New Roman"/>
          <w:color w:val="4F81BD" w:themeColor="accent1"/>
        </w:rPr>
      </w:pPr>
    </w:p>
    <w:p w14:paraId="566664DE" w14:textId="77777777" w:rsidR="00CB00F5"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 xml:space="preserve">On y trouvait six magistrats honoraires et un magistrat ayant appartenu à la Cour de cassation ou à une </w:t>
      </w:r>
      <w:r w:rsidR="00D93AE5">
        <w:rPr>
          <w:rFonts w:ascii="Cambria" w:hAnsi="Cambria" w:cs="Times New Roman"/>
          <w:color w:val="4F81BD" w:themeColor="accent1"/>
        </w:rPr>
        <w:t>C</w:t>
      </w:r>
      <w:r w:rsidRPr="00314047">
        <w:rPr>
          <w:rFonts w:ascii="Cambria" w:hAnsi="Cambria" w:cs="Times New Roman"/>
          <w:color w:val="4F81BD" w:themeColor="accent1"/>
        </w:rPr>
        <w:t xml:space="preserve">our d'appel. Ils étaient désignés par arrêté conjoint du ministre de la justice et des ministres intéressés sans conditions de durée et sans intervention du Conseil supérieur de la magistrature. </w:t>
      </w:r>
    </w:p>
    <w:p w14:paraId="55D9D72D" w14:textId="77777777" w:rsidR="0078115B"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Au côté de ces magistrats</w:t>
      </w:r>
      <w:r w:rsidR="00AB2B95">
        <w:rPr>
          <w:rFonts w:ascii="Cambria" w:hAnsi="Cambria" w:cs="Times New Roman"/>
          <w:color w:val="4F81BD" w:themeColor="accent1"/>
        </w:rPr>
        <w:t>,</w:t>
      </w:r>
      <w:r w:rsidRPr="00314047">
        <w:rPr>
          <w:rFonts w:ascii="Cambria" w:hAnsi="Cambria" w:cs="Times New Roman"/>
          <w:color w:val="4F81BD" w:themeColor="accent1"/>
        </w:rPr>
        <w:t xml:space="preserve"> </w:t>
      </w:r>
      <w:r w:rsidR="001C4E7A">
        <w:rPr>
          <w:rFonts w:ascii="Cambria" w:hAnsi="Cambria" w:cs="Times New Roman"/>
          <w:color w:val="4F81BD" w:themeColor="accent1"/>
        </w:rPr>
        <w:t xml:space="preserve">il y avait </w:t>
      </w:r>
      <w:r w:rsidRPr="00314047">
        <w:rPr>
          <w:rFonts w:ascii="Cambria" w:hAnsi="Cambria" w:cs="Times New Roman"/>
          <w:color w:val="4F81BD" w:themeColor="accent1"/>
        </w:rPr>
        <w:t>aussi des assesseurs représentant</w:t>
      </w:r>
      <w:r w:rsidR="00CB00F5">
        <w:rPr>
          <w:rFonts w:ascii="Cambria" w:hAnsi="Cambria" w:cs="Times New Roman"/>
          <w:color w:val="4F81BD" w:themeColor="accent1"/>
        </w:rPr>
        <w:t>,</w:t>
      </w:r>
      <w:r w:rsidRPr="00314047">
        <w:rPr>
          <w:rFonts w:ascii="Cambria" w:hAnsi="Cambria" w:cs="Times New Roman"/>
          <w:color w:val="4F81BD" w:themeColor="accent1"/>
        </w:rPr>
        <w:t xml:space="preserve"> d'une part, les travailleurs salariés et d'autre part, les employeurs ou les travailleurs indépendants. Ils étaient choisi</w:t>
      </w:r>
      <w:r w:rsidR="00B872D3">
        <w:rPr>
          <w:rFonts w:ascii="Cambria" w:hAnsi="Cambria" w:cs="Times New Roman"/>
          <w:color w:val="4F81BD" w:themeColor="accent1"/>
        </w:rPr>
        <w:t>s</w:t>
      </w:r>
      <w:r w:rsidRPr="00314047">
        <w:rPr>
          <w:rFonts w:ascii="Cambria" w:hAnsi="Cambria" w:cs="Times New Roman"/>
          <w:color w:val="4F81BD" w:themeColor="accent1"/>
        </w:rPr>
        <w:t xml:space="preserve"> pour chaque affaire par le président de la section intéressée sur une liste établie par le ministre ayant tutelle de la Sécurité sociale et du régime sociale de l'Agriculture</w:t>
      </w:r>
      <w:r w:rsidR="0078115B">
        <w:rPr>
          <w:rFonts w:ascii="Cambria" w:hAnsi="Cambria" w:cs="Times New Roman"/>
          <w:color w:val="4F81BD" w:themeColor="accent1"/>
        </w:rPr>
        <w:t>,</w:t>
      </w:r>
      <w:r w:rsidRPr="00314047">
        <w:rPr>
          <w:rFonts w:ascii="Cambria" w:hAnsi="Cambria" w:cs="Times New Roman"/>
          <w:color w:val="4F81BD" w:themeColor="accent1"/>
        </w:rPr>
        <w:t xml:space="preserve"> sur proposition des organisations professionnelles et pour une durée de cinq ans, leur mandat étant renouvelable. </w:t>
      </w:r>
    </w:p>
    <w:p w14:paraId="31E0B634" w14:textId="77777777" w:rsidR="002D1248" w:rsidRDefault="0078115B" w:rsidP="00314047">
      <w:pPr>
        <w:widowControl w:val="0"/>
        <w:autoSpaceDE w:val="0"/>
        <w:autoSpaceDN w:val="0"/>
        <w:adjustRightInd w:val="0"/>
        <w:jc w:val="both"/>
        <w:rPr>
          <w:rFonts w:ascii="Cambria" w:hAnsi="Cambria" w:cs="Times New Roman"/>
          <w:color w:val="4F81BD" w:themeColor="accent1"/>
        </w:rPr>
      </w:pPr>
      <w:r>
        <w:rPr>
          <w:rFonts w:ascii="Cambria" w:hAnsi="Cambria" w:cs="Times New Roman"/>
          <w:color w:val="4F81BD" w:themeColor="accent1"/>
        </w:rPr>
        <w:t xml:space="preserve">Enfin, on trouvait </w:t>
      </w:r>
      <w:r w:rsidR="00314047" w:rsidRPr="00314047">
        <w:rPr>
          <w:rFonts w:ascii="Cambria" w:hAnsi="Cambria" w:cs="Times New Roman"/>
          <w:color w:val="4F81BD" w:themeColor="accent1"/>
        </w:rPr>
        <w:t>des fonctionnaires de catégorie A</w:t>
      </w:r>
      <w:r>
        <w:rPr>
          <w:rFonts w:ascii="Cambria" w:hAnsi="Cambria" w:cs="Times New Roman"/>
          <w:color w:val="4F81BD" w:themeColor="accent1"/>
        </w:rPr>
        <w:t>,</w:t>
      </w:r>
      <w:r w:rsidR="00314047" w:rsidRPr="00314047">
        <w:rPr>
          <w:rFonts w:ascii="Cambria" w:hAnsi="Cambria" w:cs="Times New Roman"/>
          <w:color w:val="4F81BD" w:themeColor="accent1"/>
        </w:rPr>
        <w:t xml:space="preserve"> en activité ou honoraires</w:t>
      </w:r>
      <w:r>
        <w:rPr>
          <w:rFonts w:ascii="Cambria" w:hAnsi="Cambria" w:cs="Times New Roman"/>
          <w:color w:val="4F81BD" w:themeColor="accent1"/>
        </w:rPr>
        <w:t>,</w:t>
      </w:r>
      <w:r w:rsidR="00314047" w:rsidRPr="00314047">
        <w:rPr>
          <w:rFonts w:ascii="Cambria" w:hAnsi="Cambria" w:cs="Times New Roman"/>
          <w:color w:val="4F81BD" w:themeColor="accent1"/>
        </w:rPr>
        <w:t xml:space="preserve"> appartenant au ministère chargé de la Sécurité sociale ou au ministère chargé de l'Agriculture suivant la nature de l'affaire examiné</w:t>
      </w:r>
      <w:r w:rsidR="006B3FA9">
        <w:rPr>
          <w:rFonts w:ascii="Cambria" w:hAnsi="Cambria" w:cs="Times New Roman"/>
          <w:color w:val="4F81BD" w:themeColor="accent1"/>
        </w:rPr>
        <w:t>e</w:t>
      </w:r>
      <w:r w:rsidR="00314047" w:rsidRPr="00314047">
        <w:rPr>
          <w:rFonts w:ascii="Cambria" w:hAnsi="Cambria" w:cs="Times New Roman"/>
          <w:color w:val="4F81BD" w:themeColor="accent1"/>
        </w:rPr>
        <w:t xml:space="preserve">. Ils étaient désignés par arrêté conjoint du ministre de la Justice ou du ministre chargé de la Sécurité sociale ou de l'Agriculture. </w:t>
      </w:r>
    </w:p>
    <w:p w14:paraId="5CD005F7" w14:textId="77777777" w:rsidR="002D1248" w:rsidRDefault="002D1248" w:rsidP="00314047">
      <w:pPr>
        <w:widowControl w:val="0"/>
        <w:autoSpaceDE w:val="0"/>
        <w:autoSpaceDN w:val="0"/>
        <w:adjustRightInd w:val="0"/>
        <w:jc w:val="both"/>
        <w:rPr>
          <w:rFonts w:ascii="Cambria" w:hAnsi="Cambria" w:cs="Times New Roman"/>
          <w:color w:val="4F81BD" w:themeColor="accent1"/>
        </w:rPr>
      </w:pPr>
    </w:p>
    <w:p w14:paraId="0F7918B5" w14:textId="14BAC97A" w:rsidR="00314047" w:rsidRPr="00314047"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La liste des fonctionnaires désignés par les ministères comportaient en générale sept membres en activité et sept membres à la retraite. Les fonctionnaire</w:t>
      </w:r>
      <w:r w:rsidR="002D1248">
        <w:rPr>
          <w:rFonts w:ascii="Cambria" w:hAnsi="Cambria" w:cs="Times New Roman"/>
          <w:color w:val="4F81BD" w:themeColor="accent1"/>
        </w:rPr>
        <w:t>s en activité</w:t>
      </w:r>
      <w:r w:rsidRPr="00314047">
        <w:rPr>
          <w:rFonts w:ascii="Cambria" w:hAnsi="Cambria" w:cs="Times New Roman"/>
          <w:color w:val="4F81BD" w:themeColor="accent1"/>
        </w:rPr>
        <w:t xml:space="preserve"> étaient souvent des directeurs du travail, un directeur adjoint des affaires sanitaires et sociales, un administrateur des affaires maritimes, un inspecteur du travail et un attaché d'administration centrale. </w:t>
      </w:r>
    </w:p>
    <w:p w14:paraId="33B58935" w14:textId="77777777" w:rsidR="00314047" w:rsidRPr="00314047" w:rsidRDefault="00314047" w:rsidP="00314047">
      <w:pPr>
        <w:widowControl w:val="0"/>
        <w:autoSpaceDE w:val="0"/>
        <w:autoSpaceDN w:val="0"/>
        <w:adjustRightInd w:val="0"/>
        <w:jc w:val="both"/>
        <w:rPr>
          <w:rFonts w:ascii="Cambria" w:hAnsi="Cambria" w:cs="Times New Roman"/>
          <w:color w:val="4F81BD" w:themeColor="accent1"/>
        </w:rPr>
      </w:pPr>
    </w:p>
    <w:p w14:paraId="565D8B99" w14:textId="5D1F2FBD" w:rsidR="00314047" w:rsidRPr="00314047"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Lors de la formation de jugement</w:t>
      </w:r>
      <w:r w:rsidR="00B9635B">
        <w:rPr>
          <w:rFonts w:ascii="Cambria" w:hAnsi="Cambria" w:cs="Times New Roman"/>
          <w:color w:val="4F81BD" w:themeColor="accent1"/>
        </w:rPr>
        <w:t>,</w:t>
      </w:r>
      <w:r w:rsidRPr="00314047">
        <w:rPr>
          <w:rFonts w:ascii="Cambria" w:hAnsi="Cambria" w:cs="Times New Roman"/>
          <w:color w:val="4F81BD" w:themeColor="accent1"/>
        </w:rPr>
        <w:t xml:space="preserve"> cinq membres étaient </w:t>
      </w:r>
      <w:r w:rsidR="00B9635B">
        <w:rPr>
          <w:rFonts w:ascii="Cambria" w:hAnsi="Cambria" w:cs="Times New Roman"/>
          <w:color w:val="4F81BD" w:themeColor="accent1"/>
        </w:rPr>
        <w:t xml:space="preserve">en principe </w:t>
      </w:r>
      <w:r w:rsidRPr="00314047">
        <w:rPr>
          <w:rFonts w:ascii="Cambria" w:hAnsi="Cambria" w:cs="Times New Roman"/>
          <w:color w:val="4F81BD" w:themeColor="accent1"/>
        </w:rPr>
        <w:t>présents</w:t>
      </w:r>
      <w:r w:rsidR="00B9635B">
        <w:rPr>
          <w:rFonts w:ascii="Cambria" w:hAnsi="Cambria" w:cs="Times New Roman"/>
          <w:color w:val="4F81BD" w:themeColor="accent1"/>
        </w:rPr>
        <w:t xml:space="preserve"> : </w:t>
      </w:r>
      <w:r w:rsidRPr="00314047">
        <w:rPr>
          <w:rFonts w:ascii="Cambria" w:hAnsi="Cambria" w:cs="Times New Roman"/>
          <w:color w:val="4F81BD" w:themeColor="accent1"/>
        </w:rPr>
        <w:t>un magistrat président, deux membres choisis parmi les magistrats ou les fonctionnaires et deux assesseurs</w:t>
      </w:r>
      <w:r w:rsidR="00036C59">
        <w:rPr>
          <w:rFonts w:ascii="Cambria" w:hAnsi="Cambria" w:cs="Times New Roman"/>
          <w:color w:val="4F81BD" w:themeColor="accent1"/>
        </w:rPr>
        <w:t>,</w:t>
      </w:r>
      <w:r w:rsidRPr="00314047">
        <w:rPr>
          <w:rFonts w:ascii="Cambria" w:hAnsi="Cambria" w:cs="Times New Roman"/>
          <w:color w:val="4F81BD" w:themeColor="accent1"/>
        </w:rPr>
        <w:t xml:space="preserve"> l'un salarié et l'autre employeur. La Cour ne pouvait valablement statuer que si trois de ses membres</w:t>
      </w:r>
      <w:r w:rsidR="007322DF">
        <w:rPr>
          <w:rFonts w:ascii="Cambria" w:hAnsi="Cambria" w:cs="Times New Roman"/>
          <w:color w:val="4F81BD" w:themeColor="accent1"/>
        </w:rPr>
        <w:t xml:space="preserve">, dont le président, </w:t>
      </w:r>
      <w:r w:rsidRPr="00314047">
        <w:rPr>
          <w:rFonts w:ascii="Cambria" w:hAnsi="Cambria" w:cs="Times New Roman"/>
          <w:color w:val="4F81BD" w:themeColor="accent1"/>
        </w:rPr>
        <w:t xml:space="preserve">étaient présents. </w:t>
      </w:r>
    </w:p>
    <w:p w14:paraId="5DC14226" w14:textId="77777777" w:rsidR="00314047" w:rsidRPr="00314047" w:rsidRDefault="00314047" w:rsidP="00314047">
      <w:pPr>
        <w:widowControl w:val="0"/>
        <w:autoSpaceDE w:val="0"/>
        <w:autoSpaceDN w:val="0"/>
        <w:adjustRightInd w:val="0"/>
        <w:jc w:val="both"/>
        <w:rPr>
          <w:rFonts w:ascii="Cambria" w:hAnsi="Cambria" w:cs="Times New Roman"/>
          <w:color w:val="4F81BD" w:themeColor="accent1"/>
        </w:rPr>
      </w:pPr>
    </w:p>
    <w:p w14:paraId="5A139647" w14:textId="68D9BCC6" w:rsidR="00314047" w:rsidRPr="00314047" w:rsidRDefault="000F388F" w:rsidP="00314047">
      <w:pPr>
        <w:widowControl w:val="0"/>
        <w:autoSpaceDE w:val="0"/>
        <w:autoSpaceDN w:val="0"/>
        <w:adjustRightInd w:val="0"/>
        <w:jc w:val="both"/>
        <w:rPr>
          <w:rFonts w:ascii="Cambria" w:hAnsi="Cambria" w:cs="Times New Roman"/>
          <w:color w:val="4F81BD" w:themeColor="accent1"/>
        </w:rPr>
      </w:pPr>
      <w:r>
        <w:rPr>
          <w:rFonts w:ascii="Cambria" w:hAnsi="Cambria" w:cs="Times New Roman"/>
          <w:color w:val="4F81BD" w:themeColor="accent1"/>
        </w:rPr>
        <w:t>L</w:t>
      </w:r>
      <w:r w:rsidR="00314047" w:rsidRPr="00314047">
        <w:rPr>
          <w:rFonts w:ascii="Cambria" w:hAnsi="Cambria" w:cs="Times New Roman"/>
          <w:color w:val="4F81BD" w:themeColor="accent1"/>
        </w:rPr>
        <w:t xml:space="preserve">e problème est </w:t>
      </w:r>
      <w:r>
        <w:rPr>
          <w:rFonts w:ascii="Cambria" w:hAnsi="Cambria" w:cs="Times New Roman"/>
          <w:color w:val="4F81BD" w:themeColor="accent1"/>
        </w:rPr>
        <w:t xml:space="preserve">par conséquent </w:t>
      </w:r>
      <w:r w:rsidR="00314047" w:rsidRPr="00314047">
        <w:rPr>
          <w:rFonts w:ascii="Cambria" w:hAnsi="Cambria" w:cs="Times New Roman"/>
          <w:color w:val="4F81BD" w:themeColor="accent1"/>
        </w:rPr>
        <w:t>celui de savoir si l'indépendance et l'impartialité sont respecté</w:t>
      </w:r>
      <w:r w:rsidR="002B256F">
        <w:rPr>
          <w:rFonts w:ascii="Cambria" w:hAnsi="Cambria" w:cs="Times New Roman"/>
          <w:color w:val="4F81BD" w:themeColor="accent1"/>
        </w:rPr>
        <w:t>e</w:t>
      </w:r>
      <w:r w:rsidR="00314047" w:rsidRPr="00314047">
        <w:rPr>
          <w:rFonts w:ascii="Cambria" w:hAnsi="Cambria" w:cs="Times New Roman"/>
          <w:color w:val="4F81BD" w:themeColor="accent1"/>
        </w:rPr>
        <w:t xml:space="preserve">s au sein </w:t>
      </w:r>
      <w:r w:rsidR="001770E1">
        <w:rPr>
          <w:rFonts w:ascii="Cambria" w:hAnsi="Cambria" w:cs="Times New Roman"/>
          <w:color w:val="4F81BD" w:themeColor="accent1"/>
        </w:rPr>
        <w:t xml:space="preserve">de la </w:t>
      </w:r>
      <w:r w:rsidR="00314047" w:rsidRPr="00314047">
        <w:rPr>
          <w:rFonts w:ascii="Cambria" w:hAnsi="Cambria" w:cs="Times New Roman"/>
          <w:color w:val="4F81BD" w:themeColor="accent1"/>
        </w:rPr>
        <w:t>CNITAT au regard de sa composition</w:t>
      </w:r>
      <w:r w:rsidR="0073168F">
        <w:rPr>
          <w:rFonts w:ascii="Cambria" w:hAnsi="Cambria" w:cs="Times New Roman"/>
          <w:color w:val="4F81BD" w:themeColor="accent1"/>
        </w:rPr>
        <w:t xml:space="preserve">. </w:t>
      </w:r>
    </w:p>
    <w:p w14:paraId="08FE2028" w14:textId="74644437" w:rsidR="00314047" w:rsidRPr="00314047" w:rsidRDefault="00254181" w:rsidP="00314047">
      <w:pPr>
        <w:widowControl w:val="0"/>
        <w:autoSpaceDE w:val="0"/>
        <w:autoSpaceDN w:val="0"/>
        <w:adjustRightInd w:val="0"/>
        <w:jc w:val="both"/>
        <w:rPr>
          <w:rFonts w:ascii="Cambria" w:hAnsi="Cambria" w:cs="Times New Roman"/>
          <w:color w:val="4F81BD" w:themeColor="accent1"/>
        </w:rPr>
      </w:pPr>
      <w:r>
        <w:rPr>
          <w:rFonts w:ascii="Cambria" w:hAnsi="Cambria" w:cs="Times New Roman"/>
          <w:color w:val="4F81BD" w:themeColor="accent1"/>
        </w:rPr>
        <w:t>L</w:t>
      </w:r>
      <w:r w:rsidR="00314047" w:rsidRPr="00314047">
        <w:rPr>
          <w:rFonts w:ascii="Cambria" w:hAnsi="Cambria" w:cs="Times New Roman"/>
          <w:color w:val="4F81BD" w:themeColor="accent1"/>
        </w:rPr>
        <w:t xml:space="preserve">e plus gros problème à soulever est celui de la présence de fonctionnaires en son sein. Rappelons que la Cour de Strasbourg considère que la présence de fonctionnaires au sein d'un tribunal n'est pas en soi contraire à l'article 6 §1 de la Convention. Pour autant, elle exige que la </w:t>
      </w:r>
      <w:r w:rsidR="00577D59">
        <w:rPr>
          <w:rFonts w:ascii="Cambria" w:hAnsi="Cambria" w:cs="Times New Roman"/>
          <w:color w:val="4F81BD" w:themeColor="accent1"/>
        </w:rPr>
        <w:t>Constitution ou la loi postule</w:t>
      </w:r>
      <w:r w:rsidR="00314047" w:rsidRPr="00314047">
        <w:rPr>
          <w:rFonts w:ascii="Cambria" w:hAnsi="Cambria" w:cs="Times New Roman"/>
          <w:color w:val="4F81BD" w:themeColor="accent1"/>
        </w:rPr>
        <w:t xml:space="preserve"> leur indépendance relative à leurs activités juridictionnelles. Ainsi « </w:t>
      </w:r>
      <w:r w:rsidR="00314047" w:rsidRPr="00314047">
        <w:rPr>
          <w:rFonts w:ascii="Cambria" w:hAnsi="Cambria" w:cs="Times New Roman"/>
          <w:i/>
          <w:iCs/>
          <w:color w:val="4F81BD" w:themeColor="accent1"/>
        </w:rPr>
        <w:t xml:space="preserve">dès lors </w:t>
      </w:r>
      <w:r w:rsidR="002D3E9F">
        <w:rPr>
          <w:rFonts w:ascii="Cambria" w:hAnsi="Cambria" w:cs="Times New Roman"/>
          <w:i/>
          <w:iCs/>
          <w:color w:val="4F81BD" w:themeColor="accent1"/>
        </w:rPr>
        <w:t xml:space="preserve">qu'un tribunal compte parmi ses </w:t>
      </w:r>
      <w:r w:rsidR="00314047" w:rsidRPr="00314047">
        <w:rPr>
          <w:rFonts w:ascii="Cambria" w:hAnsi="Cambria" w:cs="Times New Roman"/>
          <w:i/>
          <w:iCs/>
          <w:color w:val="4F81BD" w:themeColor="accent1"/>
        </w:rPr>
        <w:t>membres une personne se trouvant dans un état de subordination de fonctions et de services par rapport à l'une des parties, les justiciables peuvent légitimement douter de l'indépendance de cette personne. Pareille situation met gravement en cause la confiance que les juridictions se doivent d'inspirer dans une société démocratique</w:t>
      </w:r>
      <w:r w:rsidR="00314047" w:rsidRPr="00314047">
        <w:rPr>
          <w:rFonts w:ascii="Cambria" w:hAnsi="Cambria" w:cs="Times New Roman"/>
          <w:color w:val="4F81BD" w:themeColor="accent1"/>
        </w:rPr>
        <w:t> ».</w:t>
      </w:r>
    </w:p>
    <w:p w14:paraId="18244CD7" w14:textId="77777777" w:rsidR="00314047" w:rsidRPr="00314047" w:rsidRDefault="00314047" w:rsidP="00314047">
      <w:pPr>
        <w:widowControl w:val="0"/>
        <w:autoSpaceDE w:val="0"/>
        <w:autoSpaceDN w:val="0"/>
        <w:adjustRightInd w:val="0"/>
        <w:jc w:val="both"/>
        <w:rPr>
          <w:rFonts w:ascii="Cambria" w:hAnsi="Cambria" w:cs="Times New Roman"/>
          <w:color w:val="4F81BD" w:themeColor="accent1"/>
        </w:rPr>
      </w:pPr>
    </w:p>
    <w:p w14:paraId="43A49152" w14:textId="42EA4B0F" w:rsidR="00314047" w:rsidRPr="00314047"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Les fonc</w:t>
      </w:r>
      <w:r w:rsidR="00305367">
        <w:rPr>
          <w:rFonts w:ascii="Cambria" w:hAnsi="Cambria" w:cs="Times New Roman"/>
          <w:color w:val="4F81BD" w:themeColor="accent1"/>
        </w:rPr>
        <w:t xml:space="preserve">tionnaires qui siègent au sein </w:t>
      </w:r>
      <w:r w:rsidRPr="00314047">
        <w:rPr>
          <w:rFonts w:ascii="Cambria" w:hAnsi="Cambria" w:cs="Times New Roman"/>
          <w:color w:val="4F81BD" w:themeColor="accent1"/>
        </w:rPr>
        <w:t>de</w:t>
      </w:r>
      <w:r w:rsidR="00305367">
        <w:rPr>
          <w:rFonts w:ascii="Cambria" w:hAnsi="Cambria" w:cs="Times New Roman"/>
          <w:color w:val="4F81BD" w:themeColor="accent1"/>
        </w:rPr>
        <w:t xml:space="preserve"> la</w:t>
      </w:r>
      <w:r w:rsidRPr="00314047">
        <w:rPr>
          <w:rFonts w:ascii="Cambria" w:hAnsi="Cambria" w:cs="Times New Roman"/>
          <w:color w:val="4F81BD" w:themeColor="accent1"/>
        </w:rPr>
        <w:t xml:space="preserve"> CNITAT sont ils soumis à un lien de subordination</w:t>
      </w:r>
      <w:r w:rsidR="00B41506">
        <w:rPr>
          <w:rFonts w:ascii="Cambria" w:hAnsi="Cambria" w:cs="Times New Roman"/>
          <w:color w:val="4F81BD" w:themeColor="accent1"/>
        </w:rPr>
        <w:t xml:space="preserve"> </w:t>
      </w:r>
      <w:r w:rsidRPr="00314047">
        <w:rPr>
          <w:rFonts w:ascii="Cambria" w:hAnsi="Cambria" w:cs="Times New Roman"/>
          <w:color w:val="4F81BD" w:themeColor="accent1"/>
        </w:rPr>
        <w:t>? Sont-ils autonomes</w:t>
      </w:r>
      <w:r w:rsidR="00B41506">
        <w:rPr>
          <w:rFonts w:ascii="Cambria" w:hAnsi="Cambria" w:cs="Times New Roman"/>
          <w:color w:val="4F81BD" w:themeColor="accent1"/>
        </w:rPr>
        <w:t xml:space="preserve"> et</w:t>
      </w:r>
      <w:r w:rsidRPr="00314047">
        <w:rPr>
          <w:rFonts w:ascii="Cambria" w:hAnsi="Cambria" w:cs="Times New Roman"/>
          <w:color w:val="4F81BD" w:themeColor="accent1"/>
        </w:rPr>
        <w:t xml:space="preserve"> indépendants</w:t>
      </w:r>
      <w:r w:rsidR="00B41506">
        <w:rPr>
          <w:rFonts w:ascii="Cambria" w:hAnsi="Cambria" w:cs="Times New Roman"/>
          <w:color w:val="4F81BD" w:themeColor="accent1"/>
        </w:rPr>
        <w:t xml:space="preserve"> </w:t>
      </w:r>
      <w:r w:rsidRPr="00314047">
        <w:rPr>
          <w:rFonts w:ascii="Cambria" w:hAnsi="Cambria" w:cs="Times New Roman"/>
          <w:color w:val="4F81BD" w:themeColor="accent1"/>
        </w:rPr>
        <w:t xml:space="preserve">? Trois éléments peuvent nous laisser penser que non. </w:t>
      </w:r>
    </w:p>
    <w:p w14:paraId="1B67DFFE" w14:textId="77777777" w:rsidR="00314047" w:rsidRPr="00314047"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 xml:space="preserve">Tout d'abord, nombreux sont ceux qui ont pu relever que les fonctionnaires composant la CNITAT ne bénéficiaient d'aucune garantie spécifique quant à leur liberté de décision dans l'exercice de leur fonction juridictionnelle. Bien au contraire, ils sont nommés sans limitation de durée et il peut être mis fin à tout instant à leur activité juridictionnelle. Ces éléments permettent d'avoir des doutes sur leur impartialité et leur indépendance. </w:t>
      </w:r>
    </w:p>
    <w:p w14:paraId="7B08C7A5" w14:textId="4651598C" w:rsidR="00314047" w:rsidRPr="00314047"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De plus, rappelons que sont mis</w:t>
      </w:r>
      <w:r w:rsidR="00DC196F">
        <w:rPr>
          <w:rFonts w:ascii="Cambria" w:hAnsi="Cambria" w:cs="Times New Roman"/>
          <w:color w:val="4F81BD" w:themeColor="accent1"/>
        </w:rPr>
        <w:t>es en cause</w:t>
      </w:r>
      <w:r w:rsidRPr="00314047">
        <w:rPr>
          <w:rFonts w:ascii="Cambria" w:hAnsi="Cambria" w:cs="Times New Roman"/>
          <w:color w:val="4F81BD" w:themeColor="accent1"/>
        </w:rPr>
        <w:t xml:space="preserve"> devant la CNITAT des décisions des caisses de Sécurité sociale et que ces caisses sont très souvent parties à la procédure</w:t>
      </w:r>
      <w:r w:rsidR="00164604">
        <w:rPr>
          <w:rFonts w:ascii="Cambria" w:hAnsi="Cambria" w:cs="Times New Roman"/>
          <w:color w:val="4F81BD" w:themeColor="accent1"/>
        </w:rPr>
        <w:t>. O</w:t>
      </w:r>
      <w:r w:rsidRPr="00314047">
        <w:rPr>
          <w:rFonts w:ascii="Cambria" w:hAnsi="Cambria" w:cs="Times New Roman"/>
          <w:color w:val="4F81BD" w:themeColor="accent1"/>
        </w:rPr>
        <w:t>r, le ministre qui dirige l'administration dont les fonctionnaires dépendent exerce une tutelle sur la Sécurité sociale au travers d'une direction de son ministère et des directeurs régionaux des affaires sanitaires et sociales, lesquels exercent eux mêmes au nom de l'Etat, sous l'autorité du préfet de région, leur tutelle sur les caisses primaires de Sécurité sociale de leur circonscr</w:t>
      </w:r>
      <w:r w:rsidR="00483EFC">
        <w:rPr>
          <w:rFonts w:ascii="Cambria" w:hAnsi="Cambria" w:cs="Times New Roman"/>
          <w:color w:val="4F81BD" w:themeColor="accent1"/>
        </w:rPr>
        <w:t>iption. Ces deux arguments sont, semble t-il,</w:t>
      </w:r>
      <w:r w:rsidRPr="00314047">
        <w:rPr>
          <w:rFonts w:ascii="Cambria" w:hAnsi="Cambria" w:cs="Times New Roman"/>
          <w:color w:val="4F81BD" w:themeColor="accent1"/>
        </w:rPr>
        <w:t xml:space="preserve"> déjà suffisants pour soutenir que les fonctionnaires partis aux CNITAT ne sont pas indépendants, du </w:t>
      </w:r>
      <w:r w:rsidR="007006F9">
        <w:rPr>
          <w:rFonts w:ascii="Cambria" w:hAnsi="Cambria" w:cs="Times New Roman"/>
          <w:color w:val="4F81BD" w:themeColor="accent1"/>
        </w:rPr>
        <w:t>fait des liens de subordination</w:t>
      </w:r>
      <w:r w:rsidRPr="00314047">
        <w:rPr>
          <w:rFonts w:ascii="Cambria" w:hAnsi="Cambria" w:cs="Times New Roman"/>
          <w:color w:val="4F81BD" w:themeColor="accent1"/>
        </w:rPr>
        <w:t xml:space="preserve"> qui les uni</w:t>
      </w:r>
      <w:r w:rsidR="007006F9">
        <w:rPr>
          <w:rFonts w:ascii="Cambria" w:hAnsi="Cambria" w:cs="Times New Roman"/>
          <w:color w:val="4F81BD" w:themeColor="accent1"/>
        </w:rPr>
        <w:t>sse</w:t>
      </w:r>
      <w:r w:rsidRPr="00314047">
        <w:rPr>
          <w:rFonts w:ascii="Cambria" w:hAnsi="Cambria" w:cs="Times New Roman"/>
          <w:color w:val="4F81BD" w:themeColor="accent1"/>
        </w:rPr>
        <w:t xml:space="preserve">nt à leurs ministères. </w:t>
      </w:r>
    </w:p>
    <w:p w14:paraId="1F015077" w14:textId="209736DA" w:rsidR="00314047" w:rsidRPr="00314047" w:rsidRDefault="00E00FDF" w:rsidP="00314047">
      <w:pPr>
        <w:widowControl w:val="0"/>
        <w:autoSpaceDE w:val="0"/>
        <w:autoSpaceDN w:val="0"/>
        <w:adjustRightInd w:val="0"/>
        <w:jc w:val="both"/>
        <w:rPr>
          <w:rFonts w:ascii="Cambria" w:hAnsi="Cambria" w:cs="Times New Roman"/>
          <w:color w:val="4F81BD" w:themeColor="accent1"/>
        </w:rPr>
      </w:pPr>
      <w:r>
        <w:rPr>
          <w:rFonts w:ascii="Cambria" w:hAnsi="Cambria" w:cs="Times New Roman"/>
          <w:color w:val="4F81BD" w:themeColor="accent1"/>
        </w:rPr>
        <w:t>Enfin</w:t>
      </w:r>
      <w:r w:rsidR="00314047" w:rsidRPr="00314047">
        <w:rPr>
          <w:rFonts w:ascii="Cambria" w:hAnsi="Cambria" w:cs="Times New Roman"/>
          <w:color w:val="4F81BD" w:themeColor="accent1"/>
        </w:rPr>
        <w:t>, comme nous l'avons vu précédemment</w:t>
      </w:r>
      <w:r>
        <w:rPr>
          <w:rFonts w:ascii="Cambria" w:hAnsi="Cambria" w:cs="Times New Roman"/>
          <w:color w:val="4F81BD" w:themeColor="accent1"/>
        </w:rPr>
        <w:t>,</w:t>
      </w:r>
      <w:r w:rsidR="00314047" w:rsidRPr="00314047">
        <w:rPr>
          <w:rFonts w:ascii="Cambria" w:hAnsi="Cambria" w:cs="Times New Roman"/>
          <w:color w:val="4F81BD" w:themeColor="accent1"/>
        </w:rPr>
        <w:t xml:space="preserve"> </w:t>
      </w:r>
      <w:r>
        <w:rPr>
          <w:rFonts w:ascii="Cambria" w:hAnsi="Cambria" w:cs="Times New Roman"/>
          <w:color w:val="4F81BD" w:themeColor="accent1"/>
        </w:rPr>
        <w:t>il est possible de distinguer</w:t>
      </w:r>
      <w:r w:rsidR="00314047" w:rsidRPr="00314047">
        <w:rPr>
          <w:rFonts w:ascii="Cambria" w:hAnsi="Cambria" w:cs="Times New Roman"/>
          <w:color w:val="4F81BD" w:themeColor="accent1"/>
        </w:rPr>
        <w:t xml:space="preserve"> deux sortes de fonctionnaires, les fonctionnaires en activité et les fonctionnaires à la retraite. Il est incontestable que les liens entre </w:t>
      </w:r>
      <w:r w:rsidR="00F67D31">
        <w:rPr>
          <w:rFonts w:ascii="Cambria" w:hAnsi="Cambria" w:cs="Times New Roman"/>
          <w:color w:val="4F81BD" w:themeColor="accent1"/>
        </w:rPr>
        <w:t xml:space="preserve">les </w:t>
      </w:r>
      <w:r w:rsidR="00314047" w:rsidRPr="00314047">
        <w:rPr>
          <w:rFonts w:ascii="Cambria" w:hAnsi="Cambria" w:cs="Times New Roman"/>
          <w:color w:val="4F81BD" w:themeColor="accent1"/>
        </w:rPr>
        <w:t>f</w:t>
      </w:r>
      <w:r w:rsidR="00F67D31">
        <w:rPr>
          <w:rFonts w:ascii="Cambria" w:hAnsi="Cambria" w:cs="Times New Roman"/>
          <w:color w:val="4F81BD" w:themeColor="accent1"/>
        </w:rPr>
        <w:t>onctionnaires retraités et leur administration</w:t>
      </w:r>
      <w:r w:rsidR="004406B5">
        <w:rPr>
          <w:rFonts w:ascii="Cambria" w:hAnsi="Cambria" w:cs="Times New Roman"/>
          <w:color w:val="4F81BD" w:themeColor="accent1"/>
        </w:rPr>
        <w:t xml:space="preserve"> sont moins importants et</w:t>
      </w:r>
      <w:r w:rsidR="00314047" w:rsidRPr="00314047">
        <w:rPr>
          <w:rFonts w:ascii="Cambria" w:hAnsi="Cambria" w:cs="Times New Roman"/>
          <w:color w:val="4F81BD" w:themeColor="accent1"/>
        </w:rPr>
        <w:t xml:space="preserve"> moins forts que ceux qui existaient lorsqu'ils étaient en activité. Cependant, </w:t>
      </w:r>
      <w:r w:rsidR="00704648">
        <w:rPr>
          <w:rFonts w:ascii="Cambria" w:hAnsi="Cambria" w:cs="Times New Roman"/>
          <w:color w:val="4F81BD" w:themeColor="accent1"/>
        </w:rPr>
        <w:t>selon</w:t>
      </w:r>
      <w:r w:rsidR="00314047" w:rsidRPr="00314047">
        <w:rPr>
          <w:rFonts w:ascii="Cambria" w:hAnsi="Cambria" w:cs="Times New Roman"/>
          <w:color w:val="4F81BD" w:themeColor="accent1"/>
        </w:rPr>
        <w:t xml:space="preserve"> la Cour de Strasbourg</w:t>
      </w:r>
      <w:r w:rsidR="00E2493E">
        <w:rPr>
          <w:rFonts w:ascii="Cambria" w:hAnsi="Cambria" w:cs="Times New Roman"/>
          <w:color w:val="4F81BD" w:themeColor="accent1"/>
        </w:rPr>
        <w:t>,</w:t>
      </w:r>
      <w:r w:rsidR="00314047" w:rsidRPr="00314047">
        <w:rPr>
          <w:rFonts w:ascii="Cambria" w:hAnsi="Cambria" w:cs="Times New Roman"/>
          <w:color w:val="4F81BD" w:themeColor="accent1"/>
        </w:rPr>
        <w:t xml:space="preserve"> cet argument ne tient pas la route</w:t>
      </w:r>
      <w:r w:rsidR="00753403">
        <w:rPr>
          <w:rFonts w:ascii="Cambria" w:hAnsi="Cambria" w:cs="Times New Roman"/>
          <w:color w:val="4F81BD" w:themeColor="accent1"/>
        </w:rPr>
        <w:t xml:space="preserve"> et</w:t>
      </w:r>
      <w:r w:rsidR="00314047" w:rsidRPr="00314047">
        <w:rPr>
          <w:rFonts w:ascii="Cambria" w:hAnsi="Cambria" w:cs="Times New Roman"/>
          <w:color w:val="4F81BD" w:themeColor="accent1"/>
        </w:rPr>
        <w:t xml:space="preserve"> n'est pas assez significatif. Elle </w:t>
      </w:r>
      <w:r w:rsidR="008223B3">
        <w:rPr>
          <w:rFonts w:ascii="Cambria" w:hAnsi="Cambria" w:cs="Times New Roman"/>
          <w:color w:val="4F81BD" w:themeColor="accent1"/>
        </w:rPr>
        <w:t xml:space="preserve">insiste pour que </w:t>
      </w:r>
      <w:r w:rsidR="007954F8">
        <w:rPr>
          <w:rFonts w:ascii="Cambria" w:hAnsi="Cambria" w:cs="Times New Roman"/>
          <w:color w:val="4F81BD" w:themeColor="accent1"/>
        </w:rPr>
        <w:t xml:space="preserve">soient pris </w:t>
      </w:r>
      <w:r w:rsidR="00314047" w:rsidRPr="00314047">
        <w:rPr>
          <w:rFonts w:ascii="Cambria" w:hAnsi="Cambria" w:cs="Times New Roman"/>
          <w:color w:val="4F81BD" w:themeColor="accent1"/>
        </w:rPr>
        <w:t>en considération les préjugés que pourraient avoir les membres de la juridiction, à raison de leurs fonctions antérieures, ne serait-ce qu'au regard de l'apparence. Elle a soulevé pour la première fois cet argument le 1 octobre</w:t>
      </w:r>
      <w:r w:rsidR="00AC7C7A">
        <w:rPr>
          <w:rFonts w:ascii="Cambria" w:hAnsi="Cambria" w:cs="Times New Roman"/>
          <w:color w:val="4F81BD" w:themeColor="accent1"/>
        </w:rPr>
        <w:t xml:space="preserve"> 1982 dans son arrêt </w:t>
      </w:r>
      <w:r w:rsidR="00AC7C7A" w:rsidRPr="00AC7C7A">
        <w:rPr>
          <w:rFonts w:ascii="Cambria" w:hAnsi="Cambria" w:cs="Times New Roman"/>
          <w:color w:val="4F81BD" w:themeColor="accent1"/>
          <w:u w:val="single"/>
        </w:rPr>
        <w:t>Piersack c</w:t>
      </w:r>
      <w:r w:rsidR="00314047" w:rsidRPr="00AC7C7A">
        <w:rPr>
          <w:rFonts w:ascii="Cambria" w:hAnsi="Cambria" w:cs="Times New Roman"/>
          <w:color w:val="4F81BD" w:themeColor="accent1"/>
          <w:u w:val="single"/>
        </w:rPr>
        <w:t>/</w:t>
      </w:r>
      <w:r w:rsidR="00AC7C7A" w:rsidRPr="00AC7C7A">
        <w:rPr>
          <w:rFonts w:ascii="Cambria" w:hAnsi="Cambria" w:cs="Times New Roman"/>
          <w:color w:val="4F81BD" w:themeColor="accent1"/>
          <w:u w:val="single"/>
        </w:rPr>
        <w:t xml:space="preserve"> </w:t>
      </w:r>
      <w:r w:rsidR="00314047" w:rsidRPr="00AC7C7A">
        <w:rPr>
          <w:rFonts w:ascii="Cambria" w:hAnsi="Cambria" w:cs="Times New Roman"/>
          <w:color w:val="4F81BD" w:themeColor="accent1"/>
          <w:u w:val="single"/>
        </w:rPr>
        <w:t>Belgique</w:t>
      </w:r>
      <w:r w:rsidR="00314047" w:rsidRPr="00314047">
        <w:rPr>
          <w:rFonts w:ascii="Cambria" w:hAnsi="Cambria" w:cs="Times New Roman"/>
          <w:color w:val="4F81BD" w:themeColor="accent1"/>
        </w:rPr>
        <w:t xml:space="preserve">. </w:t>
      </w:r>
    </w:p>
    <w:p w14:paraId="10789F87" w14:textId="77777777" w:rsidR="00314047" w:rsidRPr="00314047" w:rsidRDefault="00314047" w:rsidP="00314047">
      <w:pPr>
        <w:widowControl w:val="0"/>
        <w:autoSpaceDE w:val="0"/>
        <w:autoSpaceDN w:val="0"/>
        <w:adjustRightInd w:val="0"/>
        <w:jc w:val="both"/>
        <w:rPr>
          <w:rFonts w:ascii="Cambria" w:hAnsi="Cambria" w:cs="Times New Roman"/>
          <w:color w:val="4F81BD" w:themeColor="accent1"/>
        </w:rPr>
      </w:pPr>
    </w:p>
    <w:p w14:paraId="34F73423" w14:textId="77777777" w:rsidR="00154EEE"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Un second problème peut être soulevé</w:t>
      </w:r>
      <w:r w:rsidR="00154EEE">
        <w:rPr>
          <w:rFonts w:ascii="Cambria" w:hAnsi="Cambria" w:cs="Times New Roman"/>
          <w:color w:val="4F81BD" w:themeColor="accent1"/>
        </w:rPr>
        <w:t xml:space="preserve"> au niveau de la composition de la</w:t>
      </w:r>
      <w:r w:rsidRPr="00314047">
        <w:rPr>
          <w:rFonts w:ascii="Cambria" w:hAnsi="Cambria" w:cs="Times New Roman"/>
          <w:color w:val="4F81BD" w:themeColor="accent1"/>
        </w:rPr>
        <w:t xml:space="preserve"> CNITAT. </w:t>
      </w:r>
    </w:p>
    <w:p w14:paraId="23DB3ADF" w14:textId="462ED19A" w:rsidR="00E66667" w:rsidRDefault="00314047" w:rsidP="00314047">
      <w:pPr>
        <w:widowControl w:val="0"/>
        <w:autoSpaceDE w:val="0"/>
        <w:autoSpaceDN w:val="0"/>
        <w:adjustRightInd w:val="0"/>
        <w:jc w:val="both"/>
        <w:rPr>
          <w:rFonts w:ascii="Cambria" w:hAnsi="Cambria" w:cs="Times New Roman"/>
          <w:color w:val="4F81BD" w:themeColor="accent1"/>
        </w:rPr>
      </w:pPr>
      <w:r w:rsidRPr="00314047">
        <w:rPr>
          <w:rFonts w:ascii="Cambria" w:hAnsi="Cambria" w:cs="Times New Roman"/>
          <w:color w:val="4F81BD" w:themeColor="accent1"/>
        </w:rPr>
        <w:t>Les autres membres composant</w:t>
      </w:r>
      <w:r w:rsidR="00154EEE">
        <w:rPr>
          <w:rFonts w:ascii="Cambria" w:hAnsi="Cambria" w:cs="Times New Roman"/>
          <w:color w:val="4F81BD" w:themeColor="accent1"/>
        </w:rPr>
        <w:t xml:space="preserve"> la CNITAT sont-ils indépendants et impartiaux </w:t>
      </w:r>
      <w:r w:rsidRPr="00314047">
        <w:rPr>
          <w:rFonts w:ascii="Cambria" w:hAnsi="Cambria" w:cs="Times New Roman"/>
          <w:color w:val="4F81BD" w:themeColor="accent1"/>
        </w:rPr>
        <w:t xml:space="preserve">? Il est certain que non car ils sont nommés sans limitation de durée. Les ministres peuvent mettre fin à leur fonction à tout moment. Dans le cadre de cette juridiction, les magistrats eux mêmes ne sont pas inamovibles. </w:t>
      </w:r>
    </w:p>
    <w:p w14:paraId="5D1F85AA" w14:textId="77777777" w:rsidR="00051EB2" w:rsidRDefault="00051EB2" w:rsidP="00314047">
      <w:pPr>
        <w:widowControl w:val="0"/>
        <w:autoSpaceDE w:val="0"/>
        <w:autoSpaceDN w:val="0"/>
        <w:adjustRightInd w:val="0"/>
        <w:jc w:val="both"/>
        <w:rPr>
          <w:rFonts w:ascii="Cambria" w:hAnsi="Cambria" w:cs="Times New Roman"/>
          <w:color w:val="4F81BD" w:themeColor="accent1"/>
        </w:rPr>
      </w:pPr>
    </w:p>
    <w:p w14:paraId="2D720B68" w14:textId="5CF1A036" w:rsidR="00051EB2" w:rsidRPr="00A31C5F" w:rsidRDefault="00A31C5F" w:rsidP="00051EB2">
      <w:pPr>
        <w:widowControl w:val="0"/>
        <w:autoSpaceDE w:val="0"/>
        <w:autoSpaceDN w:val="0"/>
        <w:adjustRightInd w:val="0"/>
        <w:jc w:val="both"/>
        <w:rPr>
          <w:rFonts w:ascii="Cambria" w:hAnsi="Cambria" w:cs="Times New Roman"/>
        </w:rPr>
      </w:pPr>
      <w:r>
        <w:rPr>
          <w:rFonts w:ascii="Cambria" w:hAnsi="Cambria" w:cs="Times New Roman"/>
          <w:bCs/>
        </w:rPr>
        <w:t xml:space="preserve">3/ </w:t>
      </w:r>
      <w:r w:rsidR="00BD5492">
        <w:rPr>
          <w:rFonts w:ascii="Cambria" w:hAnsi="Cambria" w:cs="Times New Roman"/>
          <w:bCs/>
        </w:rPr>
        <w:t xml:space="preserve">La position de la Cour de cassation. </w:t>
      </w:r>
    </w:p>
    <w:p w14:paraId="0B2C5C0B" w14:textId="77777777" w:rsidR="00051EB2" w:rsidRPr="00051EB2" w:rsidRDefault="00051EB2" w:rsidP="00051EB2">
      <w:pPr>
        <w:widowControl w:val="0"/>
        <w:autoSpaceDE w:val="0"/>
        <w:autoSpaceDN w:val="0"/>
        <w:adjustRightInd w:val="0"/>
        <w:jc w:val="both"/>
        <w:rPr>
          <w:rFonts w:ascii="Cambria" w:hAnsi="Cambria" w:cs="Times New Roman"/>
          <w:color w:val="4F81BD" w:themeColor="accent1"/>
        </w:rPr>
      </w:pPr>
    </w:p>
    <w:p w14:paraId="3FD3BB82" w14:textId="7D6820AB" w:rsidR="00051EB2" w:rsidRPr="00051EB2" w:rsidRDefault="00051EB2" w:rsidP="00051EB2">
      <w:pPr>
        <w:widowControl w:val="0"/>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 xml:space="preserve">La </w:t>
      </w:r>
      <w:r w:rsidR="00046BA5">
        <w:rPr>
          <w:rFonts w:ascii="Cambria" w:hAnsi="Cambria" w:cs="Times New Roman"/>
          <w:color w:val="4F81BD" w:themeColor="accent1"/>
        </w:rPr>
        <w:t>C</w:t>
      </w:r>
      <w:r w:rsidRPr="00051EB2">
        <w:rPr>
          <w:rFonts w:ascii="Cambria" w:hAnsi="Cambria" w:cs="Times New Roman"/>
          <w:color w:val="4F81BD" w:themeColor="accent1"/>
        </w:rPr>
        <w:t xml:space="preserve">hambre </w:t>
      </w:r>
      <w:r w:rsidR="00074BB2">
        <w:rPr>
          <w:rFonts w:ascii="Cambria" w:hAnsi="Cambria" w:cs="Times New Roman"/>
          <w:color w:val="4F81BD" w:themeColor="accent1"/>
        </w:rPr>
        <w:t>sociale de la Cour de cassation, l</w:t>
      </w:r>
      <w:r w:rsidRPr="00051EB2">
        <w:rPr>
          <w:rFonts w:ascii="Cambria" w:hAnsi="Cambria" w:cs="Times New Roman"/>
          <w:color w:val="4F81BD" w:themeColor="accent1"/>
        </w:rPr>
        <w:t xml:space="preserve">e 28 mai 1998 dans l'arrêt </w:t>
      </w:r>
      <w:r w:rsidRPr="00074BB2">
        <w:rPr>
          <w:rFonts w:ascii="Cambria" w:hAnsi="Cambria" w:cs="Times New Roman"/>
          <w:color w:val="4F81BD" w:themeColor="accent1"/>
          <w:u w:val="single"/>
        </w:rPr>
        <w:t>Ferry Capitain</w:t>
      </w:r>
      <w:r w:rsidR="00573965">
        <w:rPr>
          <w:rFonts w:ascii="Cambria" w:hAnsi="Cambria" w:cs="Times New Roman"/>
          <w:color w:val="4F81BD" w:themeColor="accent1"/>
        </w:rPr>
        <w:t>,</w:t>
      </w:r>
      <w:r w:rsidR="00074BB2">
        <w:rPr>
          <w:rFonts w:ascii="Cambria" w:hAnsi="Cambria" w:cs="Times New Roman"/>
          <w:color w:val="4F81BD" w:themeColor="accent1"/>
        </w:rPr>
        <w:t xml:space="preserve"> </w:t>
      </w:r>
      <w:r w:rsidRPr="00051EB2">
        <w:rPr>
          <w:rFonts w:ascii="Cambria" w:hAnsi="Cambria" w:cs="Times New Roman"/>
          <w:color w:val="4F81BD" w:themeColor="accent1"/>
        </w:rPr>
        <w:t>avait été saisi</w:t>
      </w:r>
      <w:r w:rsidR="00573965">
        <w:rPr>
          <w:rFonts w:ascii="Cambria" w:hAnsi="Cambria" w:cs="Times New Roman"/>
          <w:color w:val="4F81BD" w:themeColor="accent1"/>
        </w:rPr>
        <w:t>e</w:t>
      </w:r>
      <w:r w:rsidRPr="00051EB2">
        <w:rPr>
          <w:rFonts w:ascii="Cambria" w:hAnsi="Cambria" w:cs="Times New Roman"/>
          <w:color w:val="4F81BD" w:themeColor="accent1"/>
        </w:rPr>
        <w:t xml:space="preserve"> d'un pourvoi </w:t>
      </w:r>
      <w:r w:rsidR="00EC35D3">
        <w:rPr>
          <w:rFonts w:ascii="Cambria" w:hAnsi="Cambria" w:cs="Times New Roman"/>
          <w:color w:val="4F81BD" w:themeColor="accent1"/>
        </w:rPr>
        <w:t xml:space="preserve">ayant pour principal </w:t>
      </w:r>
      <w:r w:rsidRPr="00051EB2">
        <w:rPr>
          <w:rFonts w:ascii="Cambria" w:hAnsi="Cambria" w:cs="Times New Roman"/>
          <w:color w:val="4F81BD" w:themeColor="accent1"/>
        </w:rPr>
        <w:t xml:space="preserve">moyen que la CNITAT serait une </w:t>
      </w:r>
      <w:r w:rsidR="00EC35D3">
        <w:rPr>
          <w:rFonts w:ascii="Cambria" w:hAnsi="Cambria" w:cs="Times New Roman"/>
          <w:color w:val="4F81BD" w:themeColor="accent1"/>
        </w:rPr>
        <w:t>juridiction</w:t>
      </w:r>
      <w:r w:rsidRPr="00051EB2">
        <w:rPr>
          <w:rFonts w:ascii="Cambria" w:hAnsi="Cambria" w:cs="Times New Roman"/>
          <w:color w:val="4F81BD" w:themeColor="accent1"/>
        </w:rPr>
        <w:t xml:space="preserve"> ne présentant pas les caractères d'indépendance et d'impartialité </w:t>
      </w:r>
      <w:r w:rsidR="004C3884">
        <w:rPr>
          <w:rFonts w:ascii="Cambria" w:hAnsi="Cambria" w:cs="Times New Roman"/>
          <w:color w:val="4F81BD" w:themeColor="accent1"/>
        </w:rPr>
        <w:t xml:space="preserve">exigés par </w:t>
      </w:r>
      <w:r w:rsidRPr="00051EB2">
        <w:rPr>
          <w:rFonts w:ascii="Cambria" w:hAnsi="Cambria" w:cs="Times New Roman"/>
          <w:color w:val="4F81BD" w:themeColor="accent1"/>
        </w:rPr>
        <w:t>l'article 6 §1 de la Convention européenne de sau</w:t>
      </w:r>
      <w:r w:rsidR="004C3884">
        <w:rPr>
          <w:rFonts w:ascii="Cambria" w:hAnsi="Cambria" w:cs="Times New Roman"/>
          <w:color w:val="4F81BD" w:themeColor="accent1"/>
        </w:rPr>
        <w:t xml:space="preserve">vegarde des droit de l'Homme. </w:t>
      </w:r>
      <w:r w:rsidRPr="00051EB2">
        <w:rPr>
          <w:rFonts w:ascii="Cambria" w:hAnsi="Cambria" w:cs="Times New Roman"/>
          <w:color w:val="4F81BD" w:themeColor="accent1"/>
        </w:rPr>
        <w:t>Après avoir mis l'accent sur le fait que la CNITAT était bien une juridiction</w:t>
      </w:r>
      <w:r w:rsidR="00E5047D">
        <w:rPr>
          <w:rFonts w:ascii="Cambria" w:hAnsi="Cambria" w:cs="Times New Roman"/>
          <w:color w:val="4F81BD" w:themeColor="accent1"/>
        </w:rPr>
        <w:t>,</w:t>
      </w:r>
      <w:r w:rsidRPr="00051EB2">
        <w:rPr>
          <w:rFonts w:ascii="Cambria" w:hAnsi="Cambria" w:cs="Times New Roman"/>
          <w:color w:val="4F81BD" w:themeColor="accent1"/>
        </w:rPr>
        <w:t xml:space="preserve"> elle a affirmé dans cet arrêt que « </w:t>
      </w:r>
      <w:r w:rsidRPr="00051EB2">
        <w:rPr>
          <w:rFonts w:ascii="Cambria" w:hAnsi="Cambria" w:cs="Times New Roman"/>
          <w:i/>
          <w:iCs/>
          <w:color w:val="4F81BD" w:themeColor="accent1"/>
        </w:rPr>
        <w:t xml:space="preserve">dans l'exercice de leurs attributions juridictionnelles </w:t>
      </w:r>
      <w:r w:rsidRPr="00E5047D">
        <w:rPr>
          <w:rFonts w:ascii="Cambria" w:hAnsi="Cambria" w:cs="Times New Roman"/>
          <w:iCs/>
          <w:color w:val="4F81BD" w:themeColor="accent1"/>
        </w:rPr>
        <w:t>(...)</w:t>
      </w:r>
      <w:r w:rsidR="00E5047D" w:rsidRPr="00E5047D">
        <w:rPr>
          <w:rFonts w:ascii="Cambria" w:hAnsi="Cambria" w:cs="Times New Roman"/>
          <w:i/>
          <w:iCs/>
          <w:color w:val="4F81BD" w:themeColor="accent1"/>
        </w:rPr>
        <w:t>,</w:t>
      </w:r>
      <w:r w:rsidRPr="00051EB2">
        <w:rPr>
          <w:rFonts w:ascii="Cambria" w:hAnsi="Cambria" w:cs="Times New Roman"/>
          <w:i/>
          <w:iCs/>
          <w:color w:val="4F81BD" w:themeColor="accent1"/>
        </w:rPr>
        <w:t xml:space="preserve"> les présidents et assesseurs composant la </w:t>
      </w:r>
      <w:r w:rsidR="00E5047D">
        <w:rPr>
          <w:rFonts w:ascii="Cambria" w:hAnsi="Cambria" w:cs="Times New Roman"/>
          <w:i/>
          <w:iCs/>
          <w:color w:val="4F81BD" w:themeColor="accent1"/>
        </w:rPr>
        <w:t>C</w:t>
      </w:r>
      <w:r w:rsidRPr="00051EB2">
        <w:rPr>
          <w:rFonts w:ascii="Cambria" w:hAnsi="Cambria" w:cs="Times New Roman"/>
          <w:i/>
          <w:iCs/>
          <w:color w:val="4F81BD" w:themeColor="accent1"/>
        </w:rPr>
        <w:t>our nationale constituent un tribunal indépendant et impartial </w:t>
      </w:r>
      <w:r w:rsidRPr="00051EB2">
        <w:rPr>
          <w:rFonts w:ascii="Cambria" w:hAnsi="Cambria" w:cs="Times New Roman"/>
          <w:color w:val="4F81BD" w:themeColor="accent1"/>
        </w:rPr>
        <w:t xml:space="preserve">». </w:t>
      </w:r>
    </w:p>
    <w:p w14:paraId="38CD35D4" w14:textId="77777777" w:rsidR="00051EB2" w:rsidRPr="00051EB2" w:rsidRDefault="00051EB2" w:rsidP="00051EB2">
      <w:pPr>
        <w:widowControl w:val="0"/>
        <w:autoSpaceDE w:val="0"/>
        <w:autoSpaceDN w:val="0"/>
        <w:adjustRightInd w:val="0"/>
        <w:jc w:val="both"/>
        <w:rPr>
          <w:rFonts w:ascii="Cambria" w:hAnsi="Cambria" w:cs="Times New Roman"/>
          <w:color w:val="4F81BD" w:themeColor="accent1"/>
        </w:rPr>
      </w:pPr>
    </w:p>
    <w:p w14:paraId="02CB74F9" w14:textId="77777777" w:rsidR="000635B0" w:rsidRDefault="00051EB2" w:rsidP="00051EB2">
      <w:pPr>
        <w:widowControl w:val="0"/>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Pourquoi la Cour de cassation n'a pas</w:t>
      </w:r>
      <w:r w:rsidR="008D3F77">
        <w:rPr>
          <w:rFonts w:ascii="Cambria" w:hAnsi="Cambria" w:cs="Times New Roman"/>
          <w:color w:val="4F81BD" w:themeColor="accent1"/>
        </w:rPr>
        <w:t>,</w:t>
      </w:r>
      <w:r w:rsidRPr="00051EB2">
        <w:rPr>
          <w:rFonts w:ascii="Cambria" w:hAnsi="Cambria" w:cs="Times New Roman"/>
          <w:color w:val="4F81BD" w:themeColor="accent1"/>
        </w:rPr>
        <w:t xml:space="preserve"> dès cette demande</w:t>
      </w:r>
      <w:r w:rsidR="008D3F77">
        <w:rPr>
          <w:rFonts w:ascii="Cambria" w:hAnsi="Cambria" w:cs="Times New Roman"/>
          <w:color w:val="4F81BD" w:themeColor="accent1"/>
        </w:rPr>
        <w:t>,</w:t>
      </w:r>
      <w:r w:rsidRPr="00051EB2">
        <w:rPr>
          <w:rFonts w:ascii="Cambria" w:hAnsi="Cambria" w:cs="Times New Roman"/>
          <w:color w:val="4F81BD" w:themeColor="accent1"/>
        </w:rPr>
        <w:t xml:space="preserve"> considéré que l</w:t>
      </w:r>
      <w:r w:rsidR="003F2CBA">
        <w:rPr>
          <w:rFonts w:ascii="Cambria" w:hAnsi="Cambria" w:cs="Times New Roman"/>
          <w:color w:val="4F81BD" w:themeColor="accent1"/>
        </w:rPr>
        <w:t>a</w:t>
      </w:r>
      <w:r w:rsidRPr="00051EB2">
        <w:rPr>
          <w:rFonts w:ascii="Cambria" w:hAnsi="Cambria" w:cs="Times New Roman"/>
          <w:color w:val="4F81BD" w:themeColor="accent1"/>
        </w:rPr>
        <w:t xml:space="preserve"> CNITAT n'étai</w:t>
      </w:r>
      <w:r w:rsidR="003F2CBA">
        <w:rPr>
          <w:rFonts w:ascii="Cambria" w:hAnsi="Cambria" w:cs="Times New Roman"/>
          <w:color w:val="4F81BD" w:themeColor="accent1"/>
        </w:rPr>
        <w:t>t</w:t>
      </w:r>
      <w:r w:rsidRPr="00051EB2">
        <w:rPr>
          <w:rFonts w:ascii="Cambria" w:hAnsi="Cambria" w:cs="Times New Roman"/>
          <w:color w:val="4F81BD" w:themeColor="accent1"/>
        </w:rPr>
        <w:t xml:space="preserve"> pas </w:t>
      </w:r>
      <w:r w:rsidR="003F2CBA">
        <w:rPr>
          <w:rFonts w:ascii="Cambria" w:hAnsi="Cambria" w:cs="Times New Roman"/>
          <w:color w:val="4F81BD" w:themeColor="accent1"/>
        </w:rPr>
        <w:t xml:space="preserve">une juridiction indépendante et impartiale </w:t>
      </w:r>
      <w:r w:rsidRPr="00051EB2">
        <w:rPr>
          <w:rFonts w:ascii="Cambria" w:hAnsi="Cambria" w:cs="Times New Roman"/>
          <w:color w:val="4F81BD" w:themeColor="accent1"/>
        </w:rPr>
        <w:t>au sens de l'article 6</w:t>
      </w:r>
      <w:r w:rsidR="003F2CBA">
        <w:rPr>
          <w:rFonts w:ascii="Cambria" w:hAnsi="Cambria" w:cs="Times New Roman"/>
          <w:color w:val="4F81BD" w:themeColor="accent1"/>
        </w:rPr>
        <w:t xml:space="preserve"> </w:t>
      </w:r>
      <w:r w:rsidRPr="00051EB2">
        <w:rPr>
          <w:rFonts w:ascii="Cambria" w:hAnsi="Cambria" w:cs="Times New Roman"/>
          <w:color w:val="4F81BD" w:themeColor="accent1"/>
        </w:rPr>
        <w:t>§1</w:t>
      </w:r>
      <w:r w:rsidR="003F2CBA">
        <w:rPr>
          <w:rFonts w:ascii="Cambria" w:hAnsi="Cambria" w:cs="Times New Roman"/>
          <w:color w:val="4F81BD" w:themeColor="accent1"/>
        </w:rPr>
        <w:t xml:space="preserve"> </w:t>
      </w:r>
      <w:r w:rsidRPr="00051EB2">
        <w:rPr>
          <w:rFonts w:ascii="Cambria" w:hAnsi="Cambria" w:cs="Times New Roman"/>
          <w:color w:val="4F81BD" w:themeColor="accent1"/>
        </w:rPr>
        <w:t xml:space="preserve">? </w:t>
      </w:r>
    </w:p>
    <w:p w14:paraId="4F13C03E" w14:textId="77777777" w:rsidR="00E058BB" w:rsidRDefault="00051EB2" w:rsidP="00051EB2">
      <w:pPr>
        <w:widowControl w:val="0"/>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Selon Pierre Lyon-Caen</w:t>
      </w:r>
      <w:r w:rsidR="003F2CBA">
        <w:rPr>
          <w:rFonts w:ascii="Cambria" w:hAnsi="Cambria" w:cs="Times New Roman"/>
          <w:color w:val="4F81BD" w:themeColor="accent1"/>
        </w:rPr>
        <w:t xml:space="preserve">, avocat général, </w:t>
      </w:r>
      <w:r w:rsidRPr="00051EB2">
        <w:rPr>
          <w:rFonts w:ascii="Cambria" w:hAnsi="Cambria" w:cs="Times New Roman"/>
          <w:color w:val="4F81BD" w:themeColor="accent1"/>
        </w:rPr>
        <w:t xml:space="preserve">la </w:t>
      </w:r>
      <w:r w:rsidR="003F2CBA">
        <w:rPr>
          <w:rFonts w:ascii="Cambria" w:hAnsi="Cambria" w:cs="Times New Roman"/>
          <w:color w:val="4F81BD" w:themeColor="accent1"/>
        </w:rPr>
        <w:t>C</w:t>
      </w:r>
      <w:r w:rsidRPr="00051EB2">
        <w:rPr>
          <w:rFonts w:ascii="Cambria" w:hAnsi="Cambria" w:cs="Times New Roman"/>
          <w:color w:val="4F81BD" w:themeColor="accent1"/>
        </w:rPr>
        <w:t>hambre sociale a voulu faire preuve de sagess</w:t>
      </w:r>
      <w:r w:rsidR="000635B0">
        <w:rPr>
          <w:rFonts w:ascii="Cambria" w:hAnsi="Cambria" w:cs="Times New Roman"/>
          <w:color w:val="4F81BD" w:themeColor="accent1"/>
        </w:rPr>
        <w:t>e. Décider du jour au lendemain</w:t>
      </w:r>
      <w:r w:rsidRPr="00051EB2">
        <w:rPr>
          <w:rFonts w:ascii="Cambria" w:hAnsi="Cambria" w:cs="Times New Roman"/>
          <w:color w:val="4F81BD" w:themeColor="accent1"/>
        </w:rPr>
        <w:t xml:space="preserve"> qu'une juridiction nationale n'est ni indépendante ni im</w:t>
      </w:r>
      <w:r w:rsidR="00051F82">
        <w:rPr>
          <w:rFonts w:ascii="Cambria" w:hAnsi="Cambria" w:cs="Times New Roman"/>
          <w:color w:val="4F81BD" w:themeColor="accent1"/>
        </w:rPr>
        <w:t>partiale dans sa composition revient à interdire à celle-</w:t>
      </w:r>
      <w:r w:rsidRPr="00051EB2">
        <w:rPr>
          <w:rFonts w:ascii="Cambria" w:hAnsi="Cambria" w:cs="Times New Roman"/>
          <w:color w:val="4F81BD" w:themeColor="accent1"/>
        </w:rPr>
        <w:t xml:space="preserve">ci de continuer à fonctionner. Si la </w:t>
      </w:r>
      <w:r w:rsidR="00051F82">
        <w:rPr>
          <w:rFonts w:ascii="Cambria" w:hAnsi="Cambria" w:cs="Times New Roman"/>
          <w:color w:val="4F81BD" w:themeColor="accent1"/>
        </w:rPr>
        <w:t>C</w:t>
      </w:r>
      <w:r w:rsidRPr="00051EB2">
        <w:rPr>
          <w:rFonts w:ascii="Cambria" w:hAnsi="Cambria" w:cs="Times New Roman"/>
          <w:color w:val="4F81BD" w:themeColor="accent1"/>
        </w:rPr>
        <w:t xml:space="preserve">hambre sociale avait fait preuve d'audace en jugeant que </w:t>
      </w:r>
      <w:r w:rsidR="008927FE">
        <w:rPr>
          <w:rFonts w:ascii="Cambria" w:hAnsi="Cambria" w:cs="Times New Roman"/>
          <w:color w:val="4F81BD" w:themeColor="accent1"/>
        </w:rPr>
        <w:t>la CNITAT étai</w:t>
      </w:r>
      <w:r w:rsidRPr="00051EB2">
        <w:rPr>
          <w:rFonts w:ascii="Cambria" w:hAnsi="Cambria" w:cs="Times New Roman"/>
          <w:color w:val="4F81BD" w:themeColor="accent1"/>
        </w:rPr>
        <w:t xml:space="preserve">t </w:t>
      </w:r>
      <w:r w:rsidR="008927FE">
        <w:rPr>
          <w:rFonts w:ascii="Cambria" w:hAnsi="Cambria" w:cs="Times New Roman"/>
          <w:color w:val="4F81BD" w:themeColor="accent1"/>
        </w:rPr>
        <w:t>une juridiction ni impartiale ni indépendante,</w:t>
      </w:r>
      <w:r w:rsidRPr="00051EB2">
        <w:rPr>
          <w:rFonts w:ascii="Cambria" w:hAnsi="Cambria" w:cs="Times New Roman"/>
          <w:color w:val="4F81BD" w:themeColor="accent1"/>
        </w:rPr>
        <w:t xml:space="preserve"> l'ensemble du contentieux technique de la </w:t>
      </w:r>
      <w:r w:rsidR="008927FE">
        <w:rPr>
          <w:rFonts w:ascii="Cambria" w:hAnsi="Cambria" w:cs="Times New Roman"/>
          <w:color w:val="4F81BD" w:themeColor="accent1"/>
        </w:rPr>
        <w:t>S</w:t>
      </w:r>
      <w:r w:rsidRPr="00051EB2">
        <w:rPr>
          <w:rFonts w:ascii="Cambria" w:hAnsi="Cambria" w:cs="Times New Roman"/>
          <w:color w:val="4F81BD" w:themeColor="accent1"/>
        </w:rPr>
        <w:t>écurité social</w:t>
      </w:r>
      <w:r w:rsidR="008927FE">
        <w:rPr>
          <w:rFonts w:ascii="Cambria" w:hAnsi="Cambria" w:cs="Times New Roman"/>
          <w:color w:val="4F81BD" w:themeColor="accent1"/>
        </w:rPr>
        <w:t>e</w:t>
      </w:r>
      <w:r w:rsidRPr="00051EB2">
        <w:rPr>
          <w:rFonts w:ascii="Cambria" w:hAnsi="Cambria" w:cs="Times New Roman"/>
          <w:color w:val="4F81BD" w:themeColor="accent1"/>
        </w:rPr>
        <w:t xml:space="preserve"> aurait été paralysé. Les juges devaient être conscient</w:t>
      </w:r>
      <w:r w:rsidR="001A7A42">
        <w:rPr>
          <w:rFonts w:ascii="Cambria" w:hAnsi="Cambria" w:cs="Times New Roman"/>
          <w:color w:val="4F81BD" w:themeColor="accent1"/>
        </w:rPr>
        <w:t>s</w:t>
      </w:r>
      <w:r w:rsidRPr="00051EB2">
        <w:rPr>
          <w:rFonts w:ascii="Cambria" w:hAnsi="Cambria" w:cs="Times New Roman"/>
          <w:color w:val="4F81BD" w:themeColor="accent1"/>
        </w:rPr>
        <w:t xml:space="preserve"> que le seul remède à une telle constatation ne pouvait être qu'une réforme législative</w:t>
      </w:r>
      <w:r w:rsidR="000758D7">
        <w:rPr>
          <w:rFonts w:ascii="Cambria" w:hAnsi="Cambria" w:cs="Times New Roman"/>
          <w:color w:val="4F81BD" w:themeColor="accent1"/>
        </w:rPr>
        <w:t>. O</w:t>
      </w:r>
      <w:r w:rsidRPr="00051EB2">
        <w:rPr>
          <w:rFonts w:ascii="Cambria" w:hAnsi="Cambria" w:cs="Times New Roman"/>
          <w:color w:val="4F81BD" w:themeColor="accent1"/>
        </w:rPr>
        <w:t>r</w:t>
      </w:r>
      <w:r w:rsidR="000758D7">
        <w:rPr>
          <w:rFonts w:ascii="Cambria" w:hAnsi="Cambria" w:cs="Times New Roman"/>
          <w:color w:val="4F81BD" w:themeColor="accent1"/>
        </w:rPr>
        <w:t>,</w:t>
      </w:r>
      <w:r w:rsidRPr="00051EB2">
        <w:rPr>
          <w:rFonts w:ascii="Cambria" w:hAnsi="Cambria" w:cs="Times New Roman"/>
          <w:color w:val="4F81BD" w:themeColor="accent1"/>
        </w:rPr>
        <w:t xml:space="preserve"> une telle réforme nécessite du temps.  </w:t>
      </w:r>
    </w:p>
    <w:p w14:paraId="260BD6B2" w14:textId="77777777" w:rsidR="009360F9" w:rsidRDefault="009360F9" w:rsidP="00051EB2">
      <w:pPr>
        <w:widowControl w:val="0"/>
        <w:autoSpaceDE w:val="0"/>
        <w:autoSpaceDN w:val="0"/>
        <w:adjustRightInd w:val="0"/>
        <w:jc w:val="both"/>
        <w:rPr>
          <w:rFonts w:ascii="Cambria" w:hAnsi="Cambria" w:cs="Times New Roman"/>
          <w:color w:val="4F81BD" w:themeColor="accent1"/>
        </w:rPr>
      </w:pPr>
    </w:p>
    <w:p w14:paraId="737708BF" w14:textId="77777777" w:rsidR="009360F9" w:rsidRDefault="00051EB2" w:rsidP="00051EB2">
      <w:pPr>
        <w:widowControl w:val="0"/>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 xml:space="preserve">Ainsi, </w:t>
      </w:r>
      <w:r w:rsidR="000758D7">
        <w:rPr>
          <w:rFonts w:ascii="Cambria" w:hAnsi="Cambria" w:cs="Times New Roman"/>
          <w:color w:val="4F81BD" w:themeColor="accent1"/>
        </w:rPr>
        <w:t>l</w:t>
      </w:r>
      <w:r w:rsidRPr="00051EB2">
        <w:rPr>
          <w:rFonts w:ascii="Cambria" w:hAnsi="Cambria" w:cs="Times New Roman"/>
          <w:color w:val="4F81BD" w:themeColor="accent1"/>
        </w:rPr>
        <w:t>a Cour de cassation</w:t>
      </w:r>
      <w:r w:rsidR="000758D7">
        <w:rPr>
          <w:rFonts w:ascii="Cambria" w:hAnsi="Cambria" w:cs="Times New Roman"/>
          <w:color w:val="4F81BD" w:themeColor="accent1"/>
        </w:rPr>
        <w:t>,</w:t>
      </w:r>
      <w:r w:rsidRPr="00051EB2">
        <w:rPr>
          <w:rFonts w:ascii="Cambria" w:hAnsi="Cambria" w:cs="Times New Roman"/>
          <w:color w:val="4F81BD" w:themeColor="accent1"/>
        </w:rPr>
        <w:t xml:space="preserve"> à la suite de cet arrêt</w:t>
      </w:r>
      <w:r w:rsidR="000758D7">
        <w:rPr>
          <w:rFonts w:ascii="Cambria" w:hAnsi="Cambria" w:cs="Times New Roman"/>
          <w:color w:val="4F81BD" w:themeColor="accent1"/>
        </w:rPr>
        <w:t>,</w:t>
      </w:r>
      <w:r w:rsidRPr="00051EB2">
        <w:rPr>
          <w:rFonts w:ascii="Cambria" w:hAnsi="Cambria" w:cs="Times New Roman"/>
          <w:color w:val="4F81BD" w:themeColor="accent1"/>
        </w:rPr>
        <w:t xml:space="preserve"> avait tout de même soulevé dans son rapport annuel pour 1998 les difficultés posées par l'organisation de la CNITAT eu égard aux exigences de l'article 6</w:t>
      </w:r>
      <w:r w:rsidR="00B1012E">
        <w:rPr>
          <w:rFonts w:ascii="Cambria" w:hAnsi="Cambria" w:cs="Times New Roman"/>
          <w:color w:val="4F81BD" w:themeColor="accent1"/>
        </w:rPr>
        <w:t xml:space="preserve"> </w:t>
      </w:r>
      <w:r w:rsidRPr="00051EB2">
        <w:rPr>
          <w:rFonts w:ascii="Cambria" w:hAnsi="Cambria" w:cs="Times New Roman"/>
          <w:color w:val="4F81BD" w:themeColor="accent1"/>
        </w:rPr>
        <w:t xml:space="preserve">§1 de la Convention européenne </w:t>
      </w:r>
      <w:r w:rsidR="00B1012E">
        <w:rPr>
          <w:rFonts w:ascii="Cambria" w:hAnsi="Cambria" w:cs="Times New Roman"/>
          <w:color w:val="4F81BD" w:themeColor="accent1"/>
        </w:rPr>
        <w:t xml:space="preserve">de sauvegarde </w:t>
      </w:r>
      <w:r w:rsidRPr="00051EB2">
        <w:rPr>
          <w:rFonts w:ascii="Cambria" w:hAnsi="Cambria" w:cs="Times New Roman"/>
          <w:color w:val="4F81BD" w:themeColor="accent1"/>
        </w:rPr>
        <w:t>des droit de l'</w:t>
      </w:r>
      <w:r w:rsidR="00B1012E">
        <w:rPr>
          <w:rFonts w:ascii="Cambria" w:hAnsi="Cambria" w:cs="Times New Roman"/>
          <w:color w:val="4F81BD" w:themeColor="accent1"/>
        </w:rPr>
        <w:t>H</w:t>
      </w:r>
      <w:r w:rsidRPr="00051EB2">
        <w:rPr>
          <w:rFonts w:ascii="Cambria" w:hAnsi="Cambria" w:cs="Times New Roman"/>
          <w:color w:val="4F81BD" w:themeColor="accent1"/>
        </w:rPr>
        <w:t>omme. Dans ce rapport</w:t>
      </w:r>
      <w:r w:rsidR="00E058BB">
        <w:rPr>
          <w:rFonts w:ascii="Cambria" w:hAnsi="Cambria" w:cs="Times New Roman"/>
          <w:color w:val="4F81BD" w:themeColor="accent1"/>
        </w:rPr>
        <w:t>,</w:t>
      </w:r>
      <w:r w:rsidRPr="00051EB2">
        <w:rPr>
          <w:rFonts w:ascii="Cambria" w:hAnsi="Cambria" w:cs="Times New Roman"/>
          <w:color w:val="4F81BD" w:themeColor="accent1"/>
        </w:rPr>
        <w:t xml:space="preserve"> la Cour de cassation suggère une modification législative. </w:t>
      </w:r>
    </w:p>
    <w:p w14:paraId="3396EA6C" w14:textId="3897790E" w:rsidR="00051EB2" w:rsidRPr="00051EB2" w:rsidRDefault="00051EB2" w:rsidP="00051EB2">
      <w:pPr>
        <w:widowControl w:val="0"/>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Trois griefs furent principalement soulevés. Le premier concernait la présence de fonctionnaires intégrés dans une hiérarchie au sein des CNITAT, le second le défaut de publicité des audiences et le troisième le défaut de contradictoire. Cet avertissement n'a pourtant entraîné aucune évolution législative.</w:t>
      </w:r>
    </w:p>
    <w:p w14:paraId="3FABF3FF" w14:textId="77777777" w:rsidR="00051EB2" w:rsidRPr="00051EB2" w:rsidRDefault="00051EB2" w:rsidP="00051EB2">
      <w:pPr>
        <w:widowControl w:val="0"/>
        <w:autoSpaceDE w:val="0"/>
        <w:autoSpaceDN w:val="0"/>
        <w:adjustRightInd w:val="0"/>
        <w:jc w:val="both"/>
        <w:rPr>
          <w:rFonts w:ascii="Cambria" w:hAnsi="Cambria" w:cs="Times New Roman"/>
          <w:color w:val="4F81BD" w:themeColor="accent1"/>
        </w:rPr>
      </w:pPr>
    </w:p>
    <w:p w14:paraId="42BC5168" w14:textId="358A3031" w:rsidR="00051EB2" w:rsidRPr="00051EB2" w:rsidRDefault="00051EB2" w:rsidP="00051EB2">
      <w:pPr>
        <w:widowControl w:val="0"/>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C'est pourquoi, deux ans après avoir reconnu le manque d'impartialité et d'indépendance des TCI</w:t>
      </w:r>
      <w:r w:rsidR="00E954E8">
        <w:rPr>
          <w:rFonts w:ascii="Cambria" w:hAnsi="Cambria" w:cs="Times New Roman"/>
          <w:color w:val="4F81BD" w:themeColor="accent1"/>
        </w:rPr>
        <w:t>,</w:t>
      </w:r>
      <w:r w:rsidRPr="00051EB2">
        <w:rPr>
          <w:rFonts w:ascii="Cambria" w:hAnsi="Cambria" w:cs="Times New Roman"/>
          <w:color w:val="4F81BD" w:themeColor="accent1"/>
        </w:rPr>
        <w:t xml:space="preserve"> l'Assemblée plénière de la Cour de cassation a très logiquement jugé que la présence parmi les membres de la Cour nationale de fonctionnaires honoraires ou en activités, nommés sans limitation de durée, constituait une circonstance de nature à porter atteinte à l'indépendance de cette juridiction et à faire naître un doute légitime sur leur impartialité. Elle a décidé de renvoyer l'affaire devant une CNITAT autrement composée. Cette solution a donc bloqué tout le contentieux technique de la Sécurité sociale car cette nouvelle composition ne pouvait résulter que d'une modification législative, donc d'une nouvelle loi modifiant l'organisation et le fonctionnement de</w:t>
      </w:r>
      <w:r w:rsidR="00A3184D">
        <w:rPr>
          <w:rFonts w:ascii="Cambria" w:hAnsi="Cambria" w:cs="Times New Roman"/>
          <w:color w:val="4F81BD" w:themeColor="accent1"/>
        </w:rPr>
        <w:t xml:space="preserve"> la</w:t>
      </w:r>
      <w:r w:rsidRPr="00051EB2">
        <w:rPr>
          <w:rFonts w:ascii="Cambria" w:hAnsi="Cambria" w:cs="Times New Roman"/>
          <w:color w:val="4F81BD" w:themeColor="accent1"/>
        </w:rPr>
        <w:t xml:space="preserve"> CNITAT. </w:t>
      </w:r>
    </w:p>
    <w:p w14:paraId="4D8BDF78" w14:textId="77777777" w:rsidR="00051EB2" w:rsidRPr="00051EB2" w:rsidRDefault="00051EB2" w:rsidP="00051EB2">
      <w:pPr>
        <w:widowControl w:val="0"/>
        <w:autoSpaceDE w:val="0"/>
        <w:autoSpaceDN w:val="0"/>
        <w:adjustRightInd w:val="0"/>
        <w:jc w:val="both"/>
        <w:rPr>
          <w:rFonts w:ascii="Cambria" w:hAnsi="Cambria" w:cs="Times New Roman"/>
          <w:color w:val="4F81BD" w:themeColor="accent1"/>
        </w:rPr>
      </w:pPr>
    </w:p>
    <w:p w14:paraId="75D75757" w14:textId="77777777" w:rsidR="00990481" w:rsidRDefault="00051EB2" w:rsidP="00051EB2">
      <w:pPr>
        <w:widowControl w:val="0"/>
        <w:tabs>
          <w:tab w:val="left" w:pos="1125"/>
        </w:tabs>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 xml:space="preserve">En l'espèce, </w:t>
      </w:r>
      <w:r w:rsidR="00C874AF">
        <w:rPr>
          <w:rFonts w:ascii="Cambria" w:hAnsi="Cambria" w:cs="Times New Roman"/>
          <w:color w:val="4F81BD" w:themeColor="accent1"/>
        </w:rPr>
        <w:t>u</w:t>
      </w:r>
      <w:r w:rsidRPr="00051EB2">
        <w:rPr>
          <w:rFonts w:ascii="Cambria" w:hAnsi="Cambria" w:cs="Times New Roman"/>
          <w:color w:val="4F81BD" w:themeColor="accent1"/>
        </w:rPr>
        <w:t xml:space="preserve">n salarié victime d'un accident du travail s'est vu reconnaître un certain taux </w:t>
      </w:r>
      <w:r w:rsidR="00797623">
        <w:rPr>
          <w:rFonts w:ascii="Cambria" w:hAnsi="Cambria" w:cs="Times New Roman"/>
          <w:color w:val="4F81BD" w:themeColor="accent1"/>
        </w:rPr>
        <w:t xml:space="preserve">pour une </w:t>
      </w:r>
      <w:r w:rsidRPr="00051EB2">
        <w:rPr>
          <w:rFonts w:ascii="Cambria" w:hAnsi="Cambria" w:cs="Times New Roman"/>
          <w:color w:val="4F81BD" w:themeColor="accent1"/>
        </w:rPr>
        <w:t xml:space="preserve">incapacité permanente partielle par un </w:t>
      </w:r>
      <w:r w:rsidR="00797623">
        <w:rPr>
          <w:rFonts w:ascii="Cambria" w:hAnsi="Cambria" w:cs="Times New Roman"/>
          <w:color w:val="4F81BD" w:themeColor="accent1"/>
        </w:rPr>
        <w:t>T</w:t>
      </w:r>
      <w:r w:rsidRPr="00051EB2">
        <w:rPr>
          <w:rFonts w:ascii="Cambria" w:hAnsi="Cambria" w:cs="Times New Roman"/>
          <w:color w:val="4F81BD" w:themeColor="accent1"/>
        </w:rPr>
        <w:t>ribunal d</w:t>
      </w:r>
      <w:r w:rsidR="00797623">
        <w:rPr>
          <w:rFonts w:ascii="Cambria" w:hAnsi="Cambria" w:cs="Times New Roman"/>
          <w:color w:val="4F81BD" w:themeColor="accent1"/>
        </w:rPr>
        <w:t>u</w:t>
      </w:r>
      <w:r w:rsidRPr="00051EB2">
        <w:rPr>
          <w:rFonts w:ascii="Cambria" w:hAnsi="Cambria" w:cs="Times New Roman"/>
          <w:color w:val="4F81BD" w:themeColor="accent1"/>
        </w:rPr>
        <w:t xml:space="preserve"> contentieu</w:t>
      </w:r>
      <w:r w:rsidR="00797623">
        <w:rPr>
          <w:rFonts w:ascii="Cambria" w:hAnsi="Cambria" w:cs="Times New Roman"/>
          <w:color w:val="4F81BD" w:themeColor="accent1"/>
        </w:rPr>
        <w:t xml:space="preserve">x de l'incapacité. Insatisfait </w:t>
      </w:r>
      <w:r w:rsidRPr="00051EB2">
        <w:rPr>
          <w:rFonts w:ascii="Cambria" w:hAnsi="Cambria" w:cs="Times New Roman"/>
          <w:color w:val="4F81BD" w:themeColor="accent1"/>
        </w:rPr>
        <w:t>du jugement rendu son employeur</w:t>
      </w:r>
      <w:r w:rsidR="00797623">
        <w:rPr>
          <w:rFonts w:ascii="Cambria" w:hAnsi="Cambria" w:cs="Times New Roman"/>
          <w:color w:val="4F81BD" w:themeColor="accent1"/>
        </w:rPr>
        <w:t>, il</w:t>
      </w:r>
      <w:r w:rsidRPr="00051EB2">
        <w:rPr>
          <w:rFonts w:ascii="Cambria" w:hAnsi="Cambria" w:cs="Times New Roman"/>
          <w:color w:val="4F81BD" w:themeColor="accent1"/>
        </w:rPr>
        <w:t xml:space="preserve"> forme un appel. La Cour nationale de l'incapacité et de la tarification de l'assurance des accidents du travail ne fait pas droit de sa demande. La Cour nationale comprend parmi ses membres un certain nombre de fonctionnaires dont leur mandat peut être mis fin à tou</w:t>
      </w:r>
      <w:r w:rsidR="0017796F">
        <w:rPr>
          <w:rFonts w:ascii="Cambria" w:hAnsi="Cambria" w:cs="Times New Roman"/>
          <w:color w:val="4F81BD" w:themeColor="accent1"/>
        </w:rPr>
        <w:t>t</w:t>
      </w:r>
      <w:r w:rsidRPr="00051EB2">
        <w:rPr>
          <w:rFonts w:ascii="Cambria" w:hAnsi="Cambria" w:cs="Times New Roman"/>
          <w:color w:val="4F81BD" w:themeColor="accent1"/>
        </w:rPr>
        <w:t xml:space="preserve"> </w:t>
      </w:r>
      <w:r w:rsidR="0017796F">
        <w:rPr>
          <w:rFonts w:ascii="Cambria" w:hAnsi="Cambria" w:cs="Times New Roman"/>
          <w:color w:val="4F81BD" w:themeColor="accent1"/>
        </w:rPr>
        <w:t>moment</w:t>
      </w:r>
      <w:r w:rsidRPr="00051EB2">
        <w:rPr>
          <w:rFonts w:ascii="Cambria" w:hAnsi="Cambria" w:cs="Times New Roman"/>
          <w:color w:val="4F81BD" w:themeColor="accent1"/>
        </w:rPr>
        <w:t xml:space="preserve"> par les autorités de nomination. </w:t>
      </w:r>
      <w:r w:rsidR="00DE3A0D">
        <w:rPr>
          <w:rFonts w:ascii="Cambria" w:hAnsi="Cambria" w:cs="Times New Roman"/>
          <w:color w:val="4F81BD" w:themeColor="accent1"/>
        </w:rPr>
        <w:t xml:space="preserve">Il se </w:t>
      </w:r>
      <w:r w:rsidRPr="00051EB2">
        <w:rPr>
          <w:rFonts w:ascii="Cambria" w:hAnsi="Cambria" w:cs="Times New Roman"/>
          <w:color w:val="4F81BD" w:themeColor="accent1"/>
        </w:rPr>
        <w:t>pourvoi</w:t>
      </w:r>
      <w:r w:rsidR="00DE3A0D">
        <w:rPr>
          <w:rFonts w:ascii="Cambria" w:hAnsi="Cambria" w:cs="Times New Roman"/>
          <w:color w:val="4F81BD" w:themeColor="accent1"/>
        </w:rPr>
        <w:t>t</w:t>
      </w:r>
      <w:r w:rsidRPr="00051EB2">
        <w:rPr>
          <w:rFonts w:ascii="Cambria" w:hAnsi="Cambria" w:cs="Times New Roman"/>
          <w:color w:val="4F81BD" w:themeColor="accent1"/>
        </w:rPr>
        <w:t xml:space="preserve"> alors en cassation. </w:t>
      </w:r>
    </w:p>
    <w:p w14:paraId="77722402" w14:textId="6FFC841E" w:rsidR="00FC0FFE" w:rsidRDefault="00051EB2" w:rsidP="00051EB2">
      <w:pPr>
        <w:widowControl w:val="0"/>
        <w:tabs>
          <w:tab w:val="left" w:pos="1125"/>
        </w:tabs>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Le problème qui se posait à la Cour de cassation était celui de savoir si la composition et les règles de procédures appliquées au sein de la Cour nationale de l'incapacité et de la tarification de l'assurance des accidents du travail étaient conformes aux exigences d'impartialité et d'indépendance formulées dans l'article 6</w:t>
      </w:r>
      <w:r w:rsidR="009B2D4B">
        <w:rPr>
          <w:rFonts w:ascii="Cambria" w:hAnsi="Cambria" w:cs="Times New Roman"/>
          <w:color w:val="4F81BD" w:themeColor="accent1"/>
        </w:rPr>
        <w:t xml:space="preserve"> </w:t>
      </w:r>
      <w:r w:rsidRPr="00051EB2">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Pr="00051EB2">
        <w:rPr>
          <w:rFonts w:ascii="Cambria" w:hAnsi="Cambria" w:cs="Times New Roman"/>
          <w:color w:val="4F81BD" w:themeColor="accent1"/>
        </w:rPr>
        <w:t>. L</w:t>
      </w:r>
      <w:r w:rsidR="00BD585A">
        <w:rPr>
          <w:rFonts w:ascii="Cambria" w:hAnsi="Cambria" w:cs="Times New Roman"/>
          <w:color w:val="4F81BD" w:themeColor="accent1"/>
        </w:rPr>
        <w:t>’Assemblée</w:t>
      </w:r>
      <w:r w:rsidRPr="00051EB2">
        <w:rPr>
          <w:rFonts w:ascii="Cambria" w:hAnsi="Cambria" w:cs="Times New Roman"/>
          <w:color w:val="4F81BD" w:themeColor="accent1"/>
        </w:rPr>
        <w:t xml:space="preserve"> plénière de la Cour de cassation casse et annule l'arrêt rendu par la CNITAT au visa de l'article 6</w:t>
      </w:r>
      <w:r w:rsidR="009B5368">
        <w:rPr>
          <w:rFonts w:ascii="Cambria" w:hAnsi="Cambria" w:cs="Times New Roman"/>
          <w:color w:val="4F81BD" w:themeColor="accent1"/>
        </w:rPr>
        <w:t xml:space="preserve"> </w:t>
      </w:r>
      <w:r w:rsidRPr="00051EB2">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009B5368">
        <w:rPr>
          <w:rFonts w:ascii="Cambria" w:hAnsi="Cambria" w:cs="Times New Roman"/>
          <w:color w:val="4F81BD" w:themeColor="accent1"/>
        </w:rPr>
        <w:t>,</w:t>
      </w:r>
      <w:r w:rsidRPr="00051EB2">
        <w:rPr>
          <w:rFonts w:ascii="Cambria" w:hAnsi="Cambria" w:cs="Times New Roman"/>
          <w:color w:val="4F81BD" w:themeColor="accent1"/>
        </w:rPr>
        <w:t xml:space="preserve"> au motif que la cause n'a pas été entendue par un tribunal indépendant et impartial. Autrement dit, l'</w:t>
      </w:r>
      <w:r w:rsidR="00E345EF">
        <w:rPr>
          <w:rFonts w:ascii="Cambria" w:hAnsi="Cambria" w:cs="Times New Roman"/>
          <w:color w:val="4F81BD" w:themeColor="accent1"/>
        </w:rPr>
        <w:t>A</w:t>
      </w:r>
      <w:r w:rsidRPr="00051EB2">
        <w:rPr>
          <w:rFonts w:ascii="Cambria" w:hAnsi="Cambria" w:cs="Times New Roman"/>
          <w:color w:val="4F81BD" w:themeColor="accent1"/>
        </w:rPr>
        <w:t xml:space="preserve">ssemblée plénière fait un revirement de jurisprudence en considérant que la composition de la </w:t>
      </w:r>
      <w:r w:rsidR="00FA3511">
        <w:rPr>
          <w:rFonts w:ascii="Cambria" w:hAnsi="Cambria" w:cs="Times New Roman"/>
          <w:color w:val="4F81BD" w:themeColor="accent1"/>
        </w:rPr>
        <w:t>CNITAT</w:t>
      </w:r>
      <w:r w:rsidRPr="00051EB2">
        <w:rPr>
          <w:rFonts w:ascii="Cambria" w:hAnsi="Cambria" w:cs="Times New Roman"/>
          <w:color w:val="4F81BD" w:themeColor="accent1"/>
        </w:rPr>
        <w:t xml:space="preserve"> n'offre pas les garanties d'impartialité et d'indépendance requises par l'article 6</w:t>
      </w:r>
      <w:r w:rsidR="00BA3C8B">
        <w:rPr>
          <w:rFonts w:ascii="Cambria" w:hAnsi="Cambria" w:cs="Times New Roman"/>
          <w:color w:val="4F81BD" w:themeColor="accent1"/>
        </w:rPr>
        <w:t xml:space="preserve"> </w:t>
      </w:r>
      <w:r w:rsidRPr="00051EB2">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Pr="00051EB2">
        <w:rPr>
          <w:rFonts w:ascii="Cambria" w:hAnsi="Cambria" w:cs="Times New Roman"/>
          <w:color w:val="4F81BD" w:themeColor="accent1"/>
        </w:rPr>
        <w:t>. Elle a donc tranché le débat relatif à la conformité de</w:t>
      </w:r>
      <w:r w:rsidR="009F40A4">
        <w:rPr>
          <w:rFonts w:ascii="Cambria" w:hAnsi="Cambria" w:cs="Times New Roman"/>
          <w:color w:val="4F81BD" w:themeColor="accent1"/>
        </w:rPr>
        <w:t xml:space="preserve"> la</w:t>
      </w:r>
      <w:r w:rsidRPr="00051EB2">
        <w:rPr>
          <w:rFonts w:ascii="Cambria" w:hAnsi="Cambria" w:cs="Times New Roman"/>
          <w:color w:val="4F81BD" w:themeColor="accent1"/>
        </w:rPr>
        <w:t xml:space="preserve"> CNITAT à la </w:t>
      </w:r>
      <w:r w:rsidR="001F2E84">
        <w:rPr>
          <w:rFonts w:ascii="Cambria" w:hAnsi="Cambria" w:cs="Times New Roman"/>
          <w:color w:val="4F81BD" w:themeColor="accent1"/>
        </w:rPr>
        <w:t>Convention européenne de sauvegarde des droits de l’Homme</w:t>
      </w:r>
      <w:r w:rsidRPr="00051EB2">
        <w:rPr>
          <w:rFonts w:ascii="Cambria" w:hAnsi="Cambria" w:cs="Times New Roman"/>
          <w:color w:val="4F81BD" w:themeColor="accent1"/>
        </w:rPr>
        <w:t xml:space="preserve">. </w:t>
      </w:r>
    </w:p>
    <w:p w14:paraId="0A08CC86" w14:textId="2546FAFD" w:rsidR="00051EB2" w:rsidRPr="00051EB2" w:rsidRDefault="00051EB2" w:rsidP="00051EB2">
      <w:pPr>
        <w:widowControl w:val="0"/>
        <w:tabs>
          <w:tab w:val="left" w:pos="1125"/>
        </w:tabs>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Ainsi, les changement</w:t>
      </w:r>
      <w:r w:rsidR="00FC0FFE">
        <w:rPr>
          <w:rFonts w:ascii="Cambria" w:hAnsi="Cambria" w:cs="Times New Roman"/>
          <w:color w:val="4F81BD" w:themeColor="accent1"/>
        </w:rPr>
        <w:t>s</w:t>
      </w:r>
      <w:r w:rsidRPr="00051EB2">
        <w:rPr>
          <w:rFonts w:ascii="Cambria" w:hAnsi="Cambria" w:cs="Times New Roman"/>
          <w:color w:val="4F81BD" w:themeColor="accent1"/>
        </w:rPr>
        <w:t xml:space="preserve"> terminologique</w:t>
      </w:r>
      <w:r w:rsidR="00FC0FFE">
        <w:rPr>
          <w:rFonts w:ascii="Cambria" w:hAnsi="Cambria" w:cs="Times New Roman"/>
          <w:color w:val="4F81BD" w:themeColor="accent1"/>
        </w:rPr>
        <w:t>s</w:t>
      </w:r>
      <w:r w:rsidRPr="00051EB2">
        <w:rPr>
          <w:rFonts w:ascii="Cambria" w:hAnsi="Cambria" w:cs="Times New Roman"/>
          <w:color w:val="4F81BD" w:themeColor="accent1"/>
        </w:rPr>
        <w:t xml:space="preserve"> opéré</w:t>
      </w:r>
      <w:r w:rsidR="00FC0FFE">
        <w:rPr>
          <w:rFonts w:ascii="Cambria" w:hAnsi="Cambria" w:cs="Times New Roman"/>
          <w:color w:val="4F81BD" w:themeColor="accent1"/>
        </w:rPr>
        <w:t>s</w:t>
      </w:r>
      <w:r w:rsidRPr="00051EB2">
        <w:rPr>
          <w:rFonts w:ascii="Cambria" w:hAnsi="Cambria" w:cs="Times New Roman"/>
          <w:color w:val="4F81BD" w:themeColor="accent1"/>
        </w:rPr>
        <w:t xml:space="preserve"> par la loi du 28 janvier 1994 n'étai</w:t>
      </w:r>
      <w:r w:rsidR="00FC0FFE">
        <w:rPr>
          <w:rFonts w:ascii="Cambria" w:hAnsi="Cambria" w:cs="Times New Roman"/>
          <w:color w:val="4F81BD" w:themeColor="accent1"/>
        </w:rPr>
        <w:t>en</w:t>
      </w:r>
      <w:r w:rsidRPr="00051EB2">
        <w:rPr>
          <w:rFonts w:ascii="Cambria" w:hAnsi="Cambria" w:cs="Times New Roman"/>
          <w:color w:val="4F81BD" w:themeColor="accent1"/>
        </w:rPr>
        <w:t>t qu'une illusion</w:t>
      </w:r>
      <w:r w:rsidR="00FC0FFE">
        <w:rPr>
          <w:rFonts w:ascii="Cambria" w:hAnsi="Cambria" w:cs="Times New Roman"/>
          <w:color w:val="4F81BD" w:themeColor="accent1"/>
        </w:rPr>
        <w:t>.</w:t>
      </w:r>
      <w:r w:rsidRPr="00051EB2">
        <w:rPr>
          <w:rFonts w:ascii="Cambria" w:hAnsi="Cambria" w:cs="Times New Roman"/>
          <w:color w:val="4F81BD" w:themeColor="accent1"/>
        </w:rPr>
        <w:t xml:space="preserve"> </w:t>
      </w:r>
      <w:r w:rsidR="00FC0FFE">
        <w:rPr>
          <w:rFonts w:ascii="Cambria" w:hAnsi="Cambria" w:cs="Times New Roman"/>
          <w:color w:val="4F81BD" w:themeColor="accent1"/>
        </w:rPr>
        <w:t xml:space="preserve">Cette Cour, </w:t>
      </w:r>
      <w:r w:rsidRPr="00051EB2">
        <w:rPr>
          <w:rFonts w:ascii="Cambria" w:hAnsi="Cambria" w:cs="Times New Roman"/>
          <w:color w:val="4F81BD" w:themeColor="accent1"/>
        </w:rPr>
        <w:t>selon l'</w:t>
      </w:r>
      <w:r w:rsidR="00FC0FFE">
        <w:rPr>
          <w:rFonts w:ascii="Cambria" w:hAnsi="Cambria" w:cs="Times New Roman"/>
          <w:color w:val="4F81BD" w:themeColor="accent1"/>
        </w:rPr>
        <w:t>A</w:t>
      </w:r>
      <w:r w:rsidRPr="00051EB2">
        <w:rPr>
          <w:rFonts w:ascii="Cambria" w:hAnsi="Cambria" w:cs="Times New Roman"/>
          <w:color w:val="4F81BD" w:themeColor="accent1"/>
        </w:rPr>
        <w:t xml:space="preserve">ssemblée plénière </w:t>
      </w:r>
      <w:r w:rsidR="00FC0FFE">
        <w:rPr>
          <w:rFonts w:ascii="Cambria" w:hAnsi="Cambria" w:cs="Times New Roman"/>
          <w:color w:val="4F81BD" w:themeColor="accent1"/>
        </w:rPr>
        <w:t xml:space="preserve">de la Cour de cassation, </w:t>
      </w:r>
      <w:r w:rsidRPr="00051EB2">
        <w:rPr>
          <w:rFonts w:ascii="Cambria" w:hAnsi="Cambria" w:cs="Times New Roman"/>
          <w:color w:val="4F81BD" w:themeColor="accent1"/>
        </w:rPr>
        <w:t>ne fonctionne pas comme une réelle juridiction</w:t>
      </w:r>
      <w:r w:rsidR="00FC0FFE">
        <w:rPr>
          <w:rFonts w:ascii="Cambria" w:hAnsi="Cambria" w:cs="Times New Roman"/>
          <w:color w:val="4F81BD" w:themeColor="accent1"/>
        </w:rPr>
        <w:t xml:space="preserve"> devrait le faire</w:t>
      </w:r>
      <w:r w:rsidRPr="00051EB2">
        <w:rPr>
          <w:rFonts w:ascii="Cambria" w:hAnsi="Cambria" w:cs="Times New Roman"/>
          <w:color w:val="4F81BD" w:themeColor="accent1"/>
        </w:rPr>
        <w:t xml:space="preserve">. </w:t>
      </w:r>
    </w:p>
    <w:p w14:paraId="0E9AE090" w14:textId="77777777" w:rsidR="00051EB2" w:rsidRPr="00051EB2" w:rsidRDefault="00051EB2" w:rsidP="00051EB2">
      <w:pPr>
        <w:widowControl w:val="0"/>
        <w:tabs>
          <w:tab w:val="left" w:pos="6988"/>
        </w:tabs>
        <w:autoSpaceDE w:val="0"/>
        <w:autoSpaceDN w:val="0"/>
        <w:adjustRightInd w:val="0"/>
        <w:jc w:val="both"/>
        <w:rPr>
          <w:rFonts w:ascii="Cambria" w:hAnsi="Cambria" w:cs="Times New Roman"/>
          <w:color w:val="4F81BD" w:themeColor="accent1"/>
        </w:rPr>
      </w:pPr>
    </w:p>
    <w:p w14:paraId="66A5AA69" w14:textId="5BAAD00E" w:rsidR="00051EB2" w:rsidRPr="00051EB2" w:rsidRDefault="00051EB2" w:rsidP="00051EB2">
      <w:pPr>
        <w:widowControl w:val="0"/>
        <w:tabs>
          <w:tab w:val="left" w:pos="1125"/>
        </w:tabs>
        <w:autoSpaceDE w:val="0"/>
        <w:autoSpaceDN w:val="0"/>
        <w:adjustRightInd w:val="0"/>
        <w:jc w:val="both"/>
        <w:rPr>
          <w:rFonts w:ascii="Cambria" w:hAnsi="Cambria" w:cs="Times New Roman"/>
          <w:color w:val="4F81BD" w:themeColor="accent1"/>
        </w:rPr>
      </w:pPr>
      <w:r w:rsidRPr="00051EB2">
        <w:rPr>
          <w:rFonts w:ascii="Cambria" w:hAnsi="Cambria" w:cs="Times New Roman"/>
          <w:color w:val="4F81BD" w:themeColor="accent1"/>
        </w:rPr>
        <w:t xml:space="preserve">La </w:t>
      </w:r>
      <w:r w:rsidR="00FC0FFE">
        <w:rPr>
          <w:rFonts w:ascii="Cambria" w:hAnsi="Cambria" w:cs="Times New Roman"/>
          <w:color w:val="4F81BD" w:themeColor="accent1"/>
        </w:rPr>
        <w:t>deuxième C</w:t>
      </w:r>
      <w:r w:rsidRPr="00051EB2">
        <w:rPr>
          <w:rFonts w:ascii="Cambria" w:hAnsi="Cambria" w:cs="Times New Roman"/>
          <w:color w:val="4F81BD" w:themeColor="accent1"/>
        </w:rPr>
        <w:t xml:space="preserve">hambre civile de la Cour de cassation </w:t>
      </w:r>
      <w:r w:rsidR="00FC0FFE">
        <w:rPr>
          <w:rFonts w:ascii="Cambria" w:hAnsi="Cambria" w:cs="Times New Roman"/>
          <w:color w:val="4F81BD" w:themeColor="accent1"/>
        </w:rPr>
        <w:t xml:space="preserve">a </w:t>
      </w:r>
      <w:r w:rsidRPr="00051EB2">
        <w:rPr>
          <w:rFonts w:ascii="Cambria" w:hAnsi="Cambria" w:cs="Times New Roman"/>
          <w:color w:val="4F81BD" w:themeColor="accent1"/>
        </w:rPr>
        <w:t>tranch</w:t>
      </w:r>
      <w:r w:rsidR="00FC0FFE">
        <w:rPr>
          <w:rFonts w:ascii="Cambria" w:hAnsi="Cambria" w:cs="Times New Roman"/>
          <w:color w:val="4F81BD" w:themeColor="accent1"/>
        </w:rPr>
        <w:t>é</w:t>
      </w:r>
      <w:r w:rsidRPr="00051EB2">
        <w:rPr>
          <w:rFonts w:ascii="Cambria" w:hAnsi="Cambria" w:cs="Times New Roman"/>
          <w:color w:val="4F81BD" w:themeColor="accent1"/>
        </w:rPr>
        <w:t xml:space="preserve"> dans le même sens </w:t>
      </w:r>
      <w:r w:rsidR="00FC0FFE">
        <w:rPr>
          <w:rFonts w:ascii="Cambria" w:hAnsi="Cambria" w:cs="Times New Roman"/>
          <w:color w:val="4F81BD" w:themeColor="accent1"/>
        </w:rPr>
        <w:t>dans une décision du 8 mars 2005. En l'espèce, à</w:t>
      </w:r>
      <w:r w:rsidRPr="00051EB2">
        <w:rPr>
          <w:rFonts w:ascii="Cambria" w:hAnsi="Cambria" w:cs="Times New Roman"/>
          <w:color w:val="4F81BD" w:themeColor="accent1"/>
        </w:rPr>
        <w:t xml:space="preserve"> la suite d'un accident du travail</w:t>
      </w:r>
      <w:r w:rsidR="00FC0FFE">
        <w:rPr>
          <w:rFonts w:ascii="Cambria" w:hAnsi="Cambria" w:cs="Times New Roman"/>
          <w:color w:val="4F81BD" w:themeColor="accent1"/>
        </w:rPr>
        <w:t>,</w:t>
      </w:r>
      <w:r w:rsidRPr="00051EB2">
        <w:rPr>
          <w:rFonts w:ascii="Cambria" w:hAnsi="Cambria" w:cs="Times New Roman"/>
          <w:color w:val="4F81BD" w:themeColor="accent1"/>
        </w:rPr>
        <w:t xml:space="preserve"> un salarié </w:t>
      </w:r>
      <w:r w:rsidR="005641C6">
        <w:rPr>
          <w:rFonts w:ascii="Cambria" w:hAnsi="Cambria" w:cs="Times New Roman"/>
          <w:color w:val="4F81BD" w:themeColor="accent1"/>
        </w:rPr>
        <w:t xml:space="preserve">a </w:t>
      </w:r>
      <w:r w:rsidRPr="00051EB2">
        <w:rPr>
          <w:rFonts w:ascii="Cambria" w:hAnsi="Cambria" w:cs="Times New Roman"/>
          <w:color w:val="4F81BD" w:themeColor="accent1"/>
        </w:rPr>
        <w:t xml:space="preserve">saisi le </w:t>
      </w:r>
      <w:r w:rsidR="005641C6">
        <w:rPr>
          <w:rFonts w:ascii="Cambria" w:hAnsi="Cambria" w:cs="Times New Roman"/>
          <w:color w:val="4F81BD" w:themeColor="accent1"/>
        </w:rPr>
        <w:t>T</w:t>
      </w:r>
      <w:r w:rsidRPr="00051EB2">
        <w:rPr>
          <w:rFonts w:ascii="Cambria" w:hAnsi="Cambria" w:cs="Times New Roman"/>
          <w:color w:val="4F81BD" w:themeColor="accent1"/>
        </w:rPr>
        <w:t>ribunal du contentieux de l'incapacité d'une demande tendant à la réévaluation de son taux d'incapacité permanente partielle. Le tribunal, présidé par une représentante du directeur régional des affaires sanitaires et sociale ne fait pas droit à sa demande. Le salarié se pourvoi</w:t>
      </w:r>
      <w:r w:rsidR="00F05DF6">
        <w:rPr>
          <w:rFonts w:ascii="Cambria" w:hAnsi="Cambria" w:cs="Times New Roman"/>
          <w:color w:val="4F81BD" w:themeColor="accent1"/>
        </w:rPr>
        <w:t>t</w:t>
      </w:r>
      <w:r w:rsidRPr="00051EB2">
        <w:rPr>
          <w:rFonts w:ascii="Cambria" w:hAnsi="Cambria" w:cs="Times New Roman"/>
          <w:color w:val="4F81BD" w:themeColor="accent1"/>
        </w:rPr>
        <w:t xml:space="preserve"> alors en cassation au moyen que sa cause n'a pas été entendue par un tribunal indépendant et impartial au sens de l'article 6</w:t>
      </w:r>
      <w:r w:rsidR="00906A69">
        <w:rPr>
          <w:rFonts w:ascii="Cambria" w:hAnsi="Cambria" w:cs="Times New Roman"/>
          <w:color w:val="4F81BD" w:themeColor="accent1"/>
        </w:rPr>
        <w:t xml:space="preserve"> §</w:t>
      </w:r>
      <w:r w:rsidRPr="00051EB2">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Pr="00051EB2">
        <w:rPr>
          <w:rFonts w:ascii="Cambria" w:hAnsi="Cambria" w:cs="Times New Roman"/>
          <w:color w:val="4F81BD" w:themeColor="accent1"/>
        </w:rPr>
        <w:t xml:space="preserve"> alors même que la caisse primaire d'assurance maladie affirme que son moyen n'est pas recevable devant la Cour de cassation car</w:t>
      </w:r>
      <w:r w:rsidR="00C9707C">
        <w:rPr>
          <w:rFonts w:ascii="Cambria" w:hAnsi="Cambria" w:cs="Times New Roman"/>
          <w:color w:val="4F81BD" w:themeColor="accent1"/>
        </w:rPr>
        <w:t>,</w:t>
      </w:r>
      <w:r w:rsidRPr="00051EB2">
        <w:rPr>
          <w:rFonts w:ascii="Cambria" w:hAnsi="Cambria" w:cs="Times New Roman"/>
          <w:color w:val="4F81BD" w:themeColor="accent1"/>
        </w:rPr>
        <w:t xml:space="preserve"> en première instance</w:t>
      </w:r>
      <w:r w:rsidR="00C9707C">
        <w:rPr>
          <w:rFonts w:ascii="Cambria" w:hAnsi="Cambria" w:cs="Times New Roman"/>
          <w:color w:val="4F81BD" w:themeColor="accent1"/>
        </w:rPr>
        <w:t>,</w:t>
      </w:r>
      <w:r w:rsidRPr="00051EB2">
        <w:rPr>
          <w:rFonts w:ascii="Cambria" w:hAnsi="Cambria" w:cs="Times New Roman"/>
          <w:color w:val="4F81BD" w:themeColor="accent1"/>
        </w:rPr>
        <w:t xml:space="preserve"> le salarié n'a pas tenté de contester la régularité de la composition du </w:t>
      </w:r>
      <w:r w:rsidR="00C9707C">
        <w:rPr>
          <w:rFonts w:ascii="Cambria" w:hAnsi="Cambria" w:cs="Times New Roman"/>
          <w:color w:val="4F81BD" w:themeColor="accent1"/>
        </w:rPr>
        <w:t>T</w:t>
      </w:r>
      <w:r w:rsidRPr="00051EB2">
        <w:rPr>
          <w:rFonts w:ascii="Cambria" w:hAnsi="Cambria" w:cs="Times New Roman"/>
          <w:color w:val="4F81BD" w:themeColor="accent1"/>
        </w:rPr>
        <w:t>ribunal du contentieux de l'incapacité avant l'ouverture des débats.</w:t>
      </w:r>
    </w:p>
    <w:p w14:paraId="20DF0A02" w14:textId="77777777" w:rsidR="007D5AE7" w:rsidRDefault="007D5AE7" w:rsidP="00051EB2">
      <w:pPr>
        <w:widowControl w:val="0"/>
        <w:tabs>
          <w:tab w:val="left" w:pos="1125"/>
        </w:tabs>
        <w:autoSpaceDE w:val="0"/>
        <w:autoSpaceDN w:val="0"/>
        <w:adjustRightInd w:val="0"/>
        <w:jc w:val="both"/>
        <w:rPr>
          <w:rFonts w:ascii="Cambria" w:hAnsi="Cambria" w:cs="Times New Roman"/>
          <w:color w:val="4F81BD" w:themeColor="accent1"/>
          <w:u w:color="000000"/>
        </w:rPr>
      </w:pPr>
    </w:p>
    <w:p w14:paraId="1D57A858" w14:textId="1DF1ABD6" w:rsidR="00051EB2" w:rsidRDefault="00051EB2" w:rsidP="00051EB2">
      <w:pPr>
        <w:widowControl w:val="0"/>
        <w:tabs>
          <w:tab w:val="left" w:pos="1125"/>
        </w:tabs>
        <w:autoSpaceDE w:val="0"/>
        <w:autoSpaceDN w:val="0"/>
        <w:adjustRightInd w:val="0"/>
        <w:jc w:val="both"/>
        <w:rPr>
          <w:rFonts w:ascii="Cambria" w:hAnsi="Cambria" w:cs="Times New Roman"/>
          <w:color w:val="4F81BD" w:themeColor="accent1"/>
          <w:u w:color="000000"/>
        </w:rPr>
      </w:pPr>
      <w:r w:rsidRPr="007D5AE7">
        <w:rPr>
          <w:rFonts w:ascii="Cambria" w:hAnsi="Cambria" w:cs="Times New Roman"/>
          <w:color w:val="4F81BD" w:themeColor="accent1"/>
          <w:u w:color="000000"/>
        </w:rPr>
        <w:t xml:space="preserve">Le problème juridique qui se posait dans cet affaire était celui de savoir si un salarié pouvait se pourvoir en cassation au moyen que sa cause n'avait pas été entendue par un tribunal indépendant et impartial au sens de la </w:t>
      </w:r>
      <w:r w:rsidR="001F2E84">
        <w:rPr>
          <w:rFonts w:ascii="Cambria" w:hAnsi="Cambria" w:cs="Times New Roman"/>
          <w:color w:val="4F81BD" w:themeColor="accent1"/>
          <w:u w:color="000000"/>
        </w:rPr>
        <w:t>Convention européenne de sauvegarde des droits de l’Homme</w:t>
      </w:r>
      <w:r w:rsidRPr="007D5AE7">
        <w:rPr>
          <w:rFonts w:ascii="Cambria" w:hAnsi="Cambria" w:cs="Times New Roman"/>
          <w:color w:val="4F81BD" w:themeColor="accent1"/>
          <w:u w:color="000000"/>
        </w:rPr>
        <w:t xml:space="preserve"> alors même que ce moyen n'avait pas été avancé devant les juges du fond avant l'ouverture des débats</w:t>
      </w:r>
      <w:r w:rsidR="0068015D">
        <w:rPr>
          <w:rFonts w:ascii="Cambria" w:hAnsi="Cambria" w:cs="Times New Roman"/>
          <w:color w:val="4F81BD" w:themeColor="accent1"/>
          <w:u w:color="000000"/>
        </w:rPr>
        <w:t>.</w:t>
      </w:r>
      <w:r w:rsidRPr="007D5AE7">
        <w:rPr>
          <w:rFonts w:ascii="Cambria" w:hAnsi="Cambria" w:cs="Times New Roman"/>
          <w:color w:val="4F81BD" w:themeColor="accent1"/>
          <w:u w:color="000000"/>
        </w:rPr>
        <w:t xml:space="preserve"> La </w:t>
      </w:r>
      <w:r w:rsidR="0068015D">
        <w:rPr>
          <w:rFonts w:ascii="Cambria" w:hAnsi="Cambria" w:cs="Times New Roman"/>
          <w:color w:val="4F81BD" w:themeColor="accent1"/>
          <w:u w:color="000000"/>
        </w:rPr>
        <w:t>deuxième C</w:t>
      </w:r>
      <w:r w:rsidRPr="007D5AE7">
        <w:rPr>
          <w:rFonts w:ascii="Cambria" w:hAnsi="Cambria" w:cs="Times New Roman"/>
          <w:color w:val="4F81BD" w:themeColor="accent1"/>
          <w:u w:color="000000"/>
        </w:rPr>
        <w:t>hambre</w:t>
      </w:r>
      <w:r w:rsidR="0068015D">
        <w:rPr>
          <w:rFonts w:ascii="Cambria" w:hAnsi="Cambria" w:cs="Times New Roman"/>
          <w:color w:val="4F81BD" w:themeColor="accent1"/>
          <w:u w:color="000000"/>
        </w:rPr>
        <w:t xml:space="preserve"> civile de la Cour de cassation, </w:t>
      </w:r>
      <w:r w:rsidRPr="007D5AE7">
        <w:rPr>
          <w:rFonts w:ascii="Cambria" w:hAnsi="Cambria" w:cs="Times New Roman"/>
          <w:color w:val="4F81BD" w:themeColor="accent1"/>
          <w:u w:color="000000"/>
        </w:rPr>
        <w:t xml:space="preserve">en date du </w:t>
      </w:r>
      <w:r w:rsidR="0068015D">
        <w:rPr>
          <w:rFonts w:ascii="Cambria" w:hAnsi="Cambria" w:cs="Times New Roman"/>
          <w:color w:val="4F81BD" w:themeColor="accent1"/>
          <w:u w:color="000000"/>
        </w:rPr>
        <w:t xml:space="preserve">8 mars 2005, </w:t>
      </w:r>
      <w:r w:rsidRPr="007D5AE7">
        <w:rPr>
          <w:rFonts w:ascii="Cambria" w:hAnsi="Cambria" w:cs="Times New Roman"/>
          <w:color w:val="4F81BD" w:themeColor="accent1"/>
          <w:u w:color="000000"/>
        </w:rPr>
        <w:t xml:space="preserve">casse et annule le jugement rendu le 9 octobre 2001 par le </w:t>
      </w:r>
      <w:r w:rsidR="008C7917">
        <w:rPr>
          <w:rFonts w:ascii="Cambria" w:hAnsi="Cambria" w:cs="Times New Roman"/>
          <w:color w:val="4F81BD" w:themeColor="accent1"/>
          <w:u w:color="000000"/>
        </w:rPr>
        <w:t>T</w:t>
      </w:r>
      <w:r w:rsidRPr="007D5AE7">
        <w:rPr>
          <w:rFonts w:ascii="Cambria" w:hAnsi="Cambria" w:cs="Times New Roman"/>
          <w:color w:val="4F81BD" w:themeColor="accent1"/>
          <w:u w:color="000000"/>
        </w:rPr>
        <w:t>ribunal du contentieux de l'incapacité de Paris au visa de l'article 6</w:t>
      </w:r>
      <w:r w:rsidR="003D60E9">
        <w:rPr>
          <w:rFonts w:ascii="Cambria" w:hAnsi="Cambria" w:cs="Times New Roman"/>
          <w:color w:val="4F81BD" w:themeColor="accent1"/>
          <w:u w:color="000000"/>
        </w:rPr>
        <w:t xml:space="preserve"> §</w:t>
      </w:r>
      <w:r w:rsidRPr="007D5AE7">
        <w:rPr>
          <w:rFonts w:ascii="Cambria" w:hAnsi="Cambria" w:cs="Times New Roman"/>
          <w:color w:val="4F81BD" w:themeColor="accent1"/>
          <w:u w:color="000000"/>
        </w:rPr>
        <w:t xml:space="preserve">1 de la </w:t>
      </w:r>
      <w:r w:rsidR="001F2E84">
        <w:rPr>
          <w:rFonts w:ascii="Cambria" w:hAnsi="Cambria" w:cs="Times New Roman"/>
          <w:color w:val="4F81BD" w:themeColor="accent1"/>
          <w:u w:color="000000"/>
        </w:rPr>
        <w:t>Convention européenne de sauvegarde des droits de l’Homme</w:t>
      </w:r>
      <w:r w:rsidRPr="007D5AE7">
        <w:rPr>
          <w:rFonts w:ascii="Cambria" w:hAnsi="Cambria" w:cs="Times New Roman"/>
          <w:color w:val="4F81BD" w:themeColor="accent1"/>
          <w:u w:color="000000"/>
        </w:rPr>
        <w:t xml:space="preserve"> au</w:t>
      </w:r>
      <w:r w:rsidR="003D60E9">
        <w:rPr>
          <w:rFonts w:ascii="Cambria" w:hAnsi="Cambria" w:cs="Times New Roman"/>
          <w:color w:val="4F81BD" w:themeColor="accent1"/>
          <w:u w:color="000000"/>
        </w:rPr>
        <w:t xml:space="preserve"> motif</w:t>
      </w:r>
      <w:r w:rsidRPr="007D5AE7">
        <w:rPr>
          <w:rFonts w:ascii="Cambria" w:hAnsi="Cambria" w:cs="Comic Sans MS"/>
          <w:color w:val="4F81BD" w:themeColor="accent1"/>
          <w:u w:color="000000"/>
        </w:rPr>
        <w:t xml:space="preserve"> </w:t>
      </w:r>
      <w:r w:rsidRPr="007D5AE7">
        <w:rPr>
          <w:rFonts w:ascii="Cambria" w:hAnsi="Cambria" w:cs="Times New Roman"/>
          <w:color w:val="4F81BD" w:themeColor="accent1"/>
          <w:u w:color="000000"/>
        </w:rPr>
        <w:t>« </w:t>
      </w:r>
      <w:r w:rsidRPr="007D5AE7">
        <w:rPr>
          <w:rFonts w:ascii="Cambria" w:hAnsi="Cambria" w:cs="Times New Roman"/>
          <w:i/>
          <w:iCs/>
          <w:color w:val="4F81BD" w:themeColor="accent1"/>
          <w:u w:color="000000"/>
        </w:rPr>
        <w:t xml:space="preserve">qu'il ne peut être reproché à M.X </w:t>
      </w:r>
      <w:r w:rsidRPr="003D60E9">
        <w:rPr>
          <w:rFonts w:ascii="Cambria" w:hAnsi="Cambria" w:cs="Times New Roman"/>
          <w:iCs/>
          <w:color w:val="4F81BD" w:themeColor="accent1"/>
          <w:u w:color="000000"/>
        </w:rPr>
        <w:t xml:space="preserve">(...) </w:t>
      </w:r>
      <w:r w:rsidRPr="007D5AE7">
        <w:rPr>
          <w:rFonts w:ascii="Cambria" w:hAnsi="Cambria" w:cs="Times New Roman"/>
          <w:i/>
          <w:iCs/>
          <w:color w:val="4F81BD" w:themeColor="accent1"/>
          <w:u w:color="000000"/>
        </w:rPr>
        <w:t xml:space="preserve">de s'être abstenu de soulever l'irrégularité structurelle du </w:t>
      </w:r>
      <w:r w:rsidR="003D60E9">
        <w:rPr>
          <w:rFonts w:ascii="Cambria" w:hAnsi="Cambria" w:cs="Times New Roman"/>
          <w:i/>
          <w:iCs/>
          <w:color w:val="4F81BD" w:themeColor="accent1"/>
          <w:u w:color="000000"/>
        </w:rPr>
        <w:t>T</w:t>
      </w:r>
      <w:r w:rsidRPr="007D5AE7">
        <w:rPr>
          <w:rFonts w:ascii="Cambria" w:hAnsi="Cambria" w:cs="Times New Roman"/>
          <w:i/>
          <w:iCs/>
          <w:color w:val="4F81BD" w:themeColor="accent1"/>
          <w:u w:color="000000"/>
        </w:rPr>
        <w:t>ribunal du contentieux de l'incapacité composé selon les dispositions, alors en vigueur, de l'article L143-2 du Code de la Sécurité sociale, alors que, ne pouvant s'adresser à une juridiction autrement composée, il s'exposait à ne pas voir statuer sur sa demande »</w:t>
      </w:r>
      <w:r w:rsidRPr="00C20BE9">
        <w:rPr>
          <w:rFonts w:ascii="Cambria" w:hAnsi="Cambria" w:cs="Times New Roman"/>
          <w:iCs/>
          <w:color w:val="4F81BD" w:themeColor="accent1"/>
          <w:u w:color="000000"/>
        </w:rPr>
        <w:t xml:space="preserve"> et </w:t>
      </w:r>
      <w:r w:rsidRPr="007D5AE7">
        <w:rPr>
          <w:rFonts w:ascii="Cambria" w:hAnsi="Cambria" w:cs="Times New Roman"/>
          <w:i/>
          <w:iCs/>
          <w:color w:val="4F81BD" w:themeColor="accent1"/>
          <w:u w:color="000000"/>
        </w:rPr>
        <w:t xml:space="preserve">« qu'il résulte de la décision attaquée que le Tribunal était présidé par un représentant du directeur régional des affaires sanitaires et sociales, que ce fonctionnaire, soumis à une autorité hiérarchique, a, du fait de ses fonctions administratives, des liens avec la Caisse partie au litige </w:t>
      </w:r>
      <w:r w:rsidRPr="000C2799">
        <w:rPr>
          <w:rFonts w:ascii="Cambria" w:hAnsi="Cambria" w:cs="Times New Roman"/>
          <w:iCs/>
          <w:color w:val="4F81BD" w:themeColor="accent1"/>
          <w:u w:color="000000"/>
        </w:rPr>
        <w:t xml:space="preserve">(...) </w:t>
      </w:r>
      <w:r w:rsidRPr="007D5AE7">
        <w:rPr>
          <w:rFonts w:ascii="Cambria" w:hAnsi="Cambria" w:cs="Times New Roman"/>
          <w:i/>
          <w:iCs/>
          <w:color w:val="4F81BD" w:themeColor="accent1"/>
          <w:u w:color="000000"/>
        </w:rPr>
        <w:t>que ces éléments étaient de</w:t>
      </w:r>
      <w:r w:rsidR="000C2799">
        <w:rPr>
          <w:rFonts w:ascii="Cambria" w:hAnsi="Cambria" w:cs="Times New Roman"/>
          <w:i/>
          <w:iCs/>
          <w:color w:val="4F81BD" w:themeColor="accent1"/>
          <w:u w:color="000000"/>
        </w:rPr>
        <w:t xml:space="preserve"> </w:t>
      </w:r>
      <w:r w:rsidRPr="007D5AE7">
        <w:rPr>
          <w:rFonts w:ascii="Cambria" w:hAnsi="Cambria" w:cs="Times New Roman"/>
          <w:i/>
          <w:iCs/>
          <w:color w:val="4F81BD" w:themeColor="accent1"/>
          <w:u w:color="000000"/>
        </w:rPr>
        <w:t>nature à faire naître, dans l'esprit du justiciable, des doutes légitimes sur l'indépendance et l'impartialité du tribunal </w:t>
      </w:r>
      <w:r w:rsidRPr="007D5AE7">
        <w:rPr>
          <w:rFonts w:ascii="Cambria" w:hAnsi="Cambria" w:cs="Times New Roman"/>
          <w:color w:val="4F81BD" w:themeColor="accent1"/>
          <w:u w:color="000000"/>
        </w:rPr>
        <w:t xml:space="preserve">». </w:t>
      </w:r>
    </w:p>
    <w:p w14:paraId="1A308504" w14:textId="77777777" w:rsidR="00A9115F" w:rsidRDefault="00A9115F" w:rsidP="00051EB2">
      <w:pPr>
        <w:widowControl w:val="0"/>
        <w:tabs>
          <w:tab w:val="left" w:pos="1125"/>
        </w:tabs>
        <w:autoSpaceDE w:val="0"/>
        <w:autoSpaceDN w:val="0"/>
        <w:adjustRightInd w:val="0"/>
        <w:jc w:val="both"/>
        <w:rPr>
          <w:rFonts w:ascii="Cambria" w:hAnsi="Cambria" w:cs="Times New Roman"/>
          <w:color w:val="4F81BD" w:themeColor="accent1"/>
          <w:u w:color="000000"/>
        </w:rPr>
      </w:pPr>
    </w:p>
    <w:p w14:paraId="4E2D9AF2" w14:textId="6797DAC4" w:rsidR="00BD5492" w:rsidRPr="00BD5492" w:rsidRDefault="00BD5492" w:rsidP="00BD5492">
      <w:pPr>
        <w:widowControl w:val="0"/>
        <w:autoSpaceDE w:val="0"/>
        <w:autoSpaceDN w:val="0"/>
        <w:adjustRightInd w:val="0"/>
        <w:jc w:val="both"/>
        <w:rPr>
          <w:rFonts w:ascii="Cambria" w:hAnsi="Cambria" w:cs="Times New Roman"/>
        </w:rPr>
      </w:pPr>
      <w:r>
        <w:rPr>
          <w:rFonts w:ascii="Cambria" w:hAnsi="Cambria" w:cs="Times New Roman"/>
          <w:bCs/>
        </w:rPr>
        <w:t xml:space="preserve">4/ La position du Conseil constitutionnel. </w:t>
      </w:r>
    </w:p>
    <w:p w14:paraId="469E1958" w14:textId="77777777" w:rsidR="00BD5492" w:rsidRDefault="00BD5492" w:rsidP="004C0E3C">
      <w:pPr>
        <w:widowControl w:val="0"/>
        <w:tabs>
          <w:tab w:val="left" w:pos="1125"/>
        </w:tabs>
        <w:autoSpaceDE w:val="0"/>
        <w:autoSpaceDN w:val="0"/>
        <w:adjustRightInd w:val="0"/>
        <w:jc w:val="both"/>
        <w:rPr>
          <w:rFonts w:ascii="Cambria" w:hAnsi="Cambria" w:cs="Times New Roman"/>
          <w:color w:val="4F81BD" w:themeColor="accent1"/>
        </w:rPr>
      </w:pPr>
    </w:p>
    <w:p w14:paraId="40208896" w14:textId="77777777" w:rsidR="00063EE7" w:rsidRDefault="004C0E3C" w:rsidP="004C0E3C">
      <w:pPr>
        <w:widowControl w:val="0"/>
        <w:tabs>
          <w:tab w:val="left" w:pos="1125"/>
        </w:tabs>
        <w:autoSpaceDE w:val="0"/>
        <w:autoSpaceDN w:val="0"/>
        <w:adjustRightInd w:val="0"/>
        <w:jc w:val="both"/>
        <w:rPr>
          <w:rFonts w:ascii="Cambria" w:hAnsi="Cambria" w:cs="Times New Roman"/>
          <w:color w:val="4F81BD" w:themeColor="accent1"/>
        </w:rPr>
      </w:pPr>
      <w:r w:rsidRPr="004C0E3C">
        <w:rPr>
          <w:rFonts w:ascii="Cambria" w:hAnsi="Cambria" w:cs="Times New Roman"/>
          <w:color w:val="4F81BD" w:themeColor="accent1"/>
        </w:rPr>
        <w:t xml:space="preserve">Un arrêt important a été rendu par le Conseil constitutionnel le 3 décembre 2010. </w:t>
      </w:r>
      <w:r w:rsidR="00D70322">
        <w:rPr>
          <w:rFonts w:ascii="Cambria" w:hAnsi="Cambria" w:cs="Times New Roman"/>
          <w:color w:val="4F81BD" w:themeColor="accent1"/>
        </w:rPr>
        <w:t xml:space="preserve">Celui-ci </w:t>
      </w:r>
      <w:r w:rsidRPr="004C0E3C">
        <w:rPr>
          <w:rFonts w:ascii="Cambria" w:hAnsi="Cambria" w:cs="Times New Roman"/>
          <w:color w:val="4F81BD" w:themeColor="accent1"/>
        </w:rPr>
        <w:t>devait</w:t>
      </w:r>
      <w:r w:rsidR="00D70322">
        <w:rPr>
          <w:rFonts w:ascii="Cambria" w:hAnsi="Cambria" w:cs="Times New Roman"/>
          <w:color w:val="4F81BD" w:themeColor="accent1"/>
        </w:rPr>
        <w:t>,</w:t>
      </w:r>
      <w:r w:rsidRPr="004C0E3C">
        <w:rPr>
          <w:rFonts w:ascii="Cambria" w:hAnsi="Cambria" w:cs="Times New Roman"/>
          <w:color w:val="4F81BD" w:themeColor="accent1"/>
        </w:rPr>
        <w:t xml:space="preserve"> par </w:t>
      </w:r>
      <w:r w:rsidR="00D70322">
        <w:rPr>
          <w:rFonts w:ascii="Cambria" w:hAnsi="Cambria" w:cs="Times New Roman"/>
          <w:color w:val="4F81BD" w:themeColor="accent1"/>
        </w:rPr>
        <w:t xml:space="preserve">le biais </w:t>
      </w:r>
      <w:r w:rsidRPr="004C0E3C">
        <w:rPr>
          <w:rFonts w:ascii="Cambria" w:hAnsi="Cambria" w:cs="Times New Roman"/>
          <w:color w:val="4F81BD" w:themeColor="accent1"/>
        </w:rPr>
        <w:t>d'une question prioritaire de constitutionnalité</w:t>
      </w:r>
      <w:r w:rsidR="00D70322">
        <w:rPr>
          <w:rFonts w:ascii="Cambria" w:hAnsi="Cambria" w:cs="Times New Roman"/>
          <w:color w:val="4F81BD" w:themeColor="accent1"/>
        </w:rPr>
        <w:t>,</w:t>
      </w:r>
      <w:r w:rsidRPr="004C0E3C">
        <w:rPr>
          <w:rFonts w:ascii="Cambria" w:hAnsi="Cambria" w:cs="Times New Roman"/>
          <w:color w:val="4F81BD" w:themeColor="accent1"/>
        </w:rPr>
        <w:t xml:space="preserve"> vérifier si les articles L</w:t>
      </w:r>
      <w:r w:rsidR="00D70322">
        <w:rPr>
          <w:rFonts w:ascii="Cambria" w:hAnsi="Cambria" w:cs="Times New Roman"/>
          <w:color w:val="4F81BD" w:themeColor="accent1"/>
        </w:rPr>
        <w:t>142-4 et L</w:t>
      </w:r>
      <w:r w:rsidRPr="004C0E3C">
        <w:rPr>
          <w:rFonts w:ascii="Cambria" w:hAnsi="Cambria" w:cs="Times New Roman"/>
          <w:color w:val="4F81BD" w:themeColor="accent1"/>
        </w:rPr>
        <w:t xml:space="preserve">142-5 du Code de la Sécurité sociale étaient conformes à la </w:t>
      </w:r>
      <w:r w:rsidR="008777DC">
        <w:rPr>
          <w:rFonts w:ascii="Cambria" w:hAnsi="Cambria" w:cs="Times New Roman"/>
          <w:color w:val="4F81BD" w:themeColor="accent1"/>
        </w:rPr>
        <w:t>C</w:t>
      </w:r>
      <w:r w:rsidRPr="004C0E3C">
        <w:rPr>
          <w:rFonts w:ascii="Cambria" w:hAnsi="Cambria" w:cs="Times New Roman"/>
          <w:color w:val="4F81BD" w:themeColor="accent1"/>
        </w:rPr>
        <w:t>onstitution et plus particulièrement aux articles 6 et 16 de la Déclaration des droits de l'</w:t>
      </w:r>
      <w:r w:rsidR="00A065F4">
        <w:rPr>
          <w:rFonts w:ascii="Cambria" w:hAnsi="Cambria" w:cs="Times New Roman"/>
          <w:color w:val="4F81BD" w:themeColor="accent1"/>
        </w:rPr>
        <w:t>H</w:t>
      </w:r>
      <w:r w:rsidRPr="004C0E3C">
        <w:rPr>
          <w:rFonts w:ascii="Cambria" w:hAnsi="Cambria" w:cs="Times New Roman"/>
          <w:color w:val="4F81BD" w:themeColor="accent1"/>
        </w:rPr>
        <w:t xml:space="preserve">omme et du </w:t>
      </w:r>
      <w:r w:rsidR="00A065F4">
        <w:rPr>
          <w:rFonts w:ascii="Cambria" w:hAnsi="Cambria" w:cs="Times New Roman"/>
          <w:color w:val="4F81BD" w:themeColor="accent1"/>
        </w:rPr>
        <w:t>C</w:t>
      </w:r>
      <w:r w:rsidRPr="004C0E3C">
        <w:rPr>
          <w:rFonts w:ascii="Cambria" w:hAnsi="Cambria" w:cs="Times New Roman"/>
          <w:color w:val="4F81BD" w:themeColor="accent1"/>
        </w:rPr>
        <w:t>itoyen de 17</w:t>
      </w:r>
      <w:r w:rsidR="00A065F4">
        <w:rPr>
          <w:rFonts w:ascii="Cambria" w:hAnsi="Cambria" w:cs="Times New Roman"/>
          <w:color w:val="4F81BD" w:themeColor="accent1"/>
        </w:rPr>
        <w:t>89</w:t>
      </w:r>
      <w:r w:rsidRPr="004C0E3C">
        <w:rPr>
          <w:rFonts w:ascii="Cambria" w:hAnsi="Cambria" w:cs="Times New Roman"/>
          <w:color w:val="4F81BD" w:themeColor="accent1"/>
        </w:rPr>
        <w:t xml:space="preserve">. </w:t>
      </w:r>
    </w:p>
    <w:p w14:paraId="454AC796" w14:textId="3B24BB48" w:rsidR="004C0E3C" w:rsidRPr="004C0E3C" w:rsidRDefault="004C0E3C" w:rsidP="004C0E3C">
      <w:pPr>
        <w:widowControl w:val="0"/>
        <w:tabs>
          <w:tab w:val="left" w:pos="1125"/>
        </w:tabs>
        <w:autoSpaceDE w:val="0"/>
        <w:autoSpaceDN w:val="0"/>
        <w:adjustRightInd w:val="0"/>
        <w:jc w:val="both"/>
        <w:rPr>
          <w:rFonts w:ascii="Cambria" w:hAnsi="Cambria" w:cs="Times New Roman"/>
          <w:color w:val="4F81BD" w:themeColor="accent1"/>
        </w:rPr>
      </w:pPr>
      <w:r w:rsidRPr="004C0E3C">
        <w:rPr>
          <w:rFonts w:ascii="Cambria" w:hAnsi="Cambria" w:cs="Times New Roman"/>
          <w:color w:val="4F81BD" w:themeColor="accent1"/>
        </w:rPr>
        <w:t xml:space="preserve">L'article 6 pose le principe de l'égalité des citoyens devant la loi et le principe de l'égal accès des citoyens aux emplois publics. L'article 16 quant à lui pose le principe de la séparation des pouvoirs. </w:t>
      </w:r>
    </w:p>
    <w:p w14:paraId="60D7AC98" w14:textId="1EFA008D" w:rsidR="004C0E3C" w:rsidRPr="004C0E3C" w:rsidRDefault="004C0E3C" w:rsidP="004C0E3C">
      <w:pPr>
        <w:widowControl w:val="0"/>
        <w:tabs>
          <w:tab w:val="left" w:pos="1125"/>
        </w:tabs>
        <w:autoSpaceDE w:val="0"/>
        <w:autoSpaceDN w:val="0"/>
        <w:adjustRightInd w:val="0"/>
        <w:jc w:val="both"/>
        <w:rPr>
          <w:rFonts w:ascii="Cambria" w:hAnsi="Cambria" w:cs="Times New Roman"/>
          <w:color w:val="4F81BD" w:themeColor="accent1"/>
        </w:rPr>
      </w:pPr>
      <w:r w:rsidRPr="004C0E3C">
        <w:rPr>
          <w:rFonts w:ascii="Cambria" w:hAnsi="Cambria" w:cs="Times New Roman"/>
          <w:color w:val="4F81BD" w:themeColor="accent1"/>
        </w:rPr>
        <w:t xml:space="preserve">Dans son </w:t>
      </w:r>
      <w:r w:rsidR="00063EE7">
        <w:rPr>
          <w:rFonts w:ascii="Cambria" w:hAnsi="Cambria" w:cs="Times New Roman"/>
          <w:color w:val="4F81BD" w:themeColor="accent1"/>
        </w:rPr>
        <w:t>neuvième</w:t>
      </w:r>
      <w:r w:rsidRPr="004C0E3C">
        <w:rPr>
          <w:rFonts w:ascii="Cambria" w:hAnsi="Cambria" w:cs="Times New Roman"/>
          <w:color w:val="4F81BD" w:themeColor="accent1"/>
        </w:rPr>
        <w:t xml:space="preserve"> considérant, le Conseil constitutionnel</w:t>
      </w:r>
      <w:r w:rsidR="00063EE7">
        <w:rPr>
          <w:rFonts w:ascii="Cambria" w:hAnsi="Cambria" w:cs="Times New Roman"/>
          <w:color w:val="4F81BD" w:themeColor="accent1"/>
        </w:rPr>
        <w:t>,</w:t>
      </w:r>
      <w:r w:rsidRPr="004C0E3C">
        <w:rPr>
          <w:rFonts w:ascii="Cambria" w:hAnsi="Cambria" w:cs="Times New Roman"/>
          <w:color w:val="4F81BD" w:themeColor="accent1"/>
        </w:rPr>
        <w:t xml:space="preserve"> après avoir rappelé la composition du </w:t>
      </w:r>
      <w:r w:rsidR="00063EE7">
        <w:rPr>
          <w:rFonts w:ascii="Cambria" w:hAnsi="Cambria" w:cs="Times New Roman"/>
          <w:color w:val="4F81BD" w:themeColor="accent1"/>
        </w:rPr>
        <w:t>T</w:t>
      </w:r>
      <w:r w:rsidRPr="004C0E3C">
        <w:rPr>
          <w:rFonts w:ascii="Cambria" w:hAnsi="Cambria" w:cs="Times New Roman"/>
          <w:color w:val="4F81BD" w:themeColor="accent1"/>
        </w:rPr>
        <w:t>ribunal des affaires de sécurité sociale</w:t>
      </w:r>
      <w:r w:rsidR="00063EE7">
        <w:rPr>
          <w:rFonts w:ascii="Cambria" w:hAnsi="Cambria" w:cs="Times New Roman"/>
          <w:color w:val="4F81BD" w:themeColor="accent1"/>
        </w:rPr>
        <w:t>,</w:t>
      </w:r>
      <w:r w:rsidRPr="004C0E3C">
        <w:rPr>
          <w:rFonts w:ascii="Cambria" w:hAnsi="Cambria" w:cs="Times New Roman"/>
          <w:color w:val="4F81BD" w:themeColor="accent1"/>
        </w:rPr>
        <w:t xml:space="preserve"> affirme que «</w:t>
      </w:r>
      <w:r w:rsidRPr="004C0E3C">
        <w:rPr>
          <w:rFonts w:ascii="Cambria" w:hAnsi="Cambria" w:cs="Times New Roman"/>
          <w:i/>
          <w:iCs/>
          <w:color w:val="4F81BD" w:themeColor="accent1"/>
        </w:rPr>
        <w:t xml:space="preserve"> les règles de composition du </w:t>
      </w:r>
      <w:r w:rsidR="005766BD">
        <w:rPr>
          <w:rFonts w:ascii="Cambria" w:hAnsi="Cambria" w:cs="Times New Roman"/>
          <w:i/>
          <w:iCs/>
          <w:color w:val="4F81BD" w:themeColor="accent1"/>
        </w:rPr>
        <w:t>T</w:t>
      </w:r>
      <w:r w:rsidRPr="004C0E3C">
        <w:rPr>
          <w:rFonts w:ascii="Cambria" w:hAnsi="Cambria" w:cs="Times New Roman"/>
          <w:i/>
          <w:iCs/>
          <w:color w:val="4F81BD" w:themeColor="accent1"/>
        </w:rPr>
        <w:t>ribunal des affaires de sécurité sociale ne méconnaissent pas les exigences d'indépendance et d'impartialité qui résultent de l'article 16 de la Déclaration de 1789</w:t>
      </w:r>
      <w:r w:rsidRPr="004C0E3C">
        <w:rPr>
          <w:rFonts w:ascii="Cambria" w:hAnsi="Cambria" w:cs="Times New Roman"/>
          <w:color w:val="4F81BD" w:themeColor="accent1"/>
        </w:rPr>
        <w:t xml:space="preserve"> ». </w:t>
      </w:r>
    </w:p>
    <w:p w14:paraId="74FAFF86" w14:textId="77777777" w:rsidR="007E791F" w:rsidRDefault="007E791F" w:rsidP="00051EB2">
      <w:pPr>
        <w:widowControl w:val="0"/>
        <w:tabs>
          <w:tab w:val="left" w:pos="1125"/>
        </w:tabs>
        <w:autoSpaceDE w:val="0"/>
        <w:autoSpaceDN w:val="0"/>
        <w:adjustRightInd w:val="0"/>
        <w:jc w:val="both"/>
        <w:rPr>
          <w:rFonts w:ascii="Cambria" w:hAnsi="Cambria" w:cs="Times New Roman"/>
          <w:color w:val="4F81BD" w:themeColor="accent1"/>
        </w:rPr>
      </w:pPr>
    </w:p>
    <w:p w14:paraId="4D807557" w14:textId="245E1574" w:rsidR="00221132" w:rsidRDefault="004C0E3C" w:rsidP="00051EB2">
      <w:pPr>
        <w:widowControl w:val="0"/>
        <w:tabs>
          <w:tab w:val="left" w:pos="1125"/>
        </w:tabs>
        <w:autoSpaceDE w:val="0"/>
        <w:autoSpaceDN w:val="0"/>
        <w:adjustRightInd w:val="0"/>
        <w:jc w:val="both"/>
        <w:rPr>
          <w:rFonts w:ascii="Cambria" w:hAnsi="Cambria" w:cs="Times New Roman"/>
          <w:color w:val="4F81BD" w:themeColor="accent1"/>
        </w:rPr>
      </w:pPr>
      <w:r w:rsidRPr="004C0E3C">
        <w:rPr>
          <w:rFonts w:ascii="Cambria" w:hAnsi="Cambria" w:cs="Times New Roman"/>
          <w:color w:val="4F81BD" w:themeColor="accent1"/>
        </w:rPr>
        <w:t>Rappelons que le Conseil constitutionnel</w:t>
      </w:r>
      <w:r w:rsidR="007E791F">
        <w:rPr>
          <w:rFonts w:ascii="Cambria" w:hAnsi="Cambria" w:cs="Times New Roman"/>
          <w:color w:val="4F81BD" w:themeColor="accent1"/>
        </w:rPr>
        <w:t>,</w:t>
      </w:r>
      <w:r w:rsidRPr="004C0E3C">
        <w:rPr>
          <w:rFonts w:ascii="Cambria" w:hAnsi="Cambria" w:cs="Times New Roman"/>
          <w:color w:val="4F81BD" w:themeColor="accent1"/>
        </w:rPr>
        <w:t xml:space="preserve"> </w:t>
      </w:r>
      <w:r w:rsidR="007E791F">
        <w:rPr>
          <w:rFonts w:ascii="Cambria" w:hAnsi="Cambria" w:cs="Times New Roman"/>
          <w:color w:val="4F81BD" w:themeColor="accent1"/>
        </w:rPr>
        <w:t xml:space="preserve">depuis sa décision </w:t>
      </w:r>
      <w:r w:rsidR="007E791F" w:rsidRPr="007E791F">
        <w:rPr>
          <w:rFonts w:ascii="Cambria" w:hAnsi="Cambria" w:cs="Times New Roman"/>
          <w:color w:val="4F81BD" w:themeColor="accent1"/>
        </w:rPr>
        <w:t>IVG</w:t>
      </w:r>
      <w:r w:rsidR="007E791F">
        <w:rPr>
          <w:rFonts w:ascii="Cambria" w:hAnsi="Cambria" w:cs="Times New Roman"/>
          <w:color w:val="4F81BD" w:themeColor="accent1"/>
        </w:rPr>
        <w:t xml:space="preserve"> du</w:t>
      </w:r>
      <w:r w:rsidRPr="004C0E3C">
        <w:rPr>
          <w:rFonts w:ascii="Cambria" w:hAnsi="Cambria" w:cs="Times New Roman"/>
          <w:color w:val="4F81BD" w:themeColor="accent1"/>
        </w:rPr>
        <w:t xml:space="preserve"> 15 janvier 1975</w:t>
      </w:r>
      <w:r w:rsidR="007E791F">
        <w:rPr>
          <w:rFonts w:ascii="Cambria" w:hAnsi="Cambria" w:cs="Times New Roman"/>
          <w:color w:val="4F81BD" w:themeColor="accent1"/>
        </w:rPr>
        <w:t>,</w:t>
      </w:r>
      <w:r w:rsidRPr="004C0E3C">
        <w:rPr>
          <w:rFonts w:ascii="Cambria" w:hAnsi="Cambria" w:cs="Times New Roman"/>
          <w:color w:val="4F81BD" w:themeColor="accent1"/>
        </w:rPr>
        <w:t xml:space="preserve"> refuse de contrôler la conformité d'une loi par rapport à un traité. Ainsi, dans cette affaire il lui était impossible de faire un contrôle de </w:t>
      </w:r>
      <w:r w:rsidR="00090507" w:rsidRPr="004C0E3C">
        <w:rPr>
          <w:rFonts w:ascii="Cambria" w:hAnsi="Cambria" w:cs="Times New Roman"/>
          <w:color w:val="4F81BD" w:themeColor="accent1"/>
        </w:rPr>
        <w:t>conventionalité</w:t>
      </w:r>
      <w:r w:rsidRPr="004C0E3C">
        <w:rPr>
          <w:rFonts w:ascii="Cambria" w:hAnsi="Cambria" w:cs="Times New Roman"/>
          <w:color w:val="4F81BD" w:themeColor="accent1"/>
        </w:rPr>
        <w:t xml:space="preserve"> des lois en cause au regard de l'article 6</w:t>
      </w:r>
      <w:r w:rsidR="006F0E0E">
        <w:rPr>
          <w:rFonts w:ascii="Cambria" w:hAnsi="Cambria" w:cs="Times New Roman"/>
          <w:color w:val="4F81BD" w:themeColor="accent1"/>
        </w:rPr>
        <w:t xml:space="preserve"> </w:t>
      </w:r>
      <w:r w:rsidRPr="004C0E3C">
        <w:rPr>
          <w:rFonts w:ascii="Cambria" w:hAnsi="Cambria" w:cs="Times New Roman"/>
          <w:color w:val="4F81BD" w:themeColor="accent1"/>
        </w:rPr>
        <w:t>§1 de la Convention européenne de sauvegarde des droits de l'</w:t>
      </w:r>
      <w:r w:rsidR="006F0E0E">
        <w:rPr>
          <w:rFonts w:ascii="Cambria" w:hAnsi="Cambria" w:cs="Times New Roman"/>
          <w:color w:val="4F81BD" w:themeColor="accent1"/>
        </w:rPr>
        <w:t>H</w:t>
      </w:r>
      <w:r w:rsidRPr="004C0E3C">
        <w:rPr>
          <w:rFonts w:ascii="Cambria" w:hAnsi="Cambria" w:cs="Times New Roman"/>
          <w:color w:val="4F81BD" w:themeColor="accent1"/>
        </w:rPr>
        <w:t>omme. Pourtant</w:t>
      </w:r>
      <w:r w:rsidR="006F0E0E">
        <w:rPr>
          <w:rFonts w:ascii="Cambria" w:hAnsi="Cambria" w:cs="Times New Roman"/>
          <w:color w:val="4F81BD" w:themeColor="accent1"/>
        </w:rPr>
        <w:t>,</w:t>
      </w:r>
      <w:r w:rsidRPr="004C0E3C">
        <w:rPr>
          <w:rFonts w:ascii="Cambria" w:hAnsi="Cambria" w:cs="Times New Roman"/>
          <w:color w:val="4F81BD" w:themeColor="accent1"/>
        </w:rPr>
        <w:t xml:space="preserve"> on ne peut qu'affirmer </w:t>
      </w:r>
      <w:r w:rsidR="006F0E0E">
        <w:rPr>
          <w:rFonts w:ascii="Cambria" w:hAnsi="Cambria" w:cs="Times New Roman"/>
          <w:color w:val="4F81BD" w:themeColor="accent1"/>
        </w:rPr>
        <w:t>que c’est indirectement</w:t>
      </w:r>
      <w:r w:rsidRPr="004C0E3C">
        <w:rPr>
          <w:rFonts w:ascii="Cambria" w:hAnsi="Cambria" w:cs="Times New Roman"/>
          <w:color w:val="4F81BD" w:themeColor="accent1"/>
        </w:rPr>
        <w:t xml:space="preserve"> ce qu'il fait. En effet</w:t>
      </w:r>
      <w:r w:rsidR="00010695">
        <w:rPr>
          <w:rFonts w:ascii="Cambria" w:hAnsi="Cambria" w:cs="Times New Roman"/>
          <w:color w:val="4F81BD" w:themeColor="accent1"/>
        </w:rPr>
        <w:t>,</w:t>
      </w:r>
      <w:r w:rsidRPr="004C0E3C">
        <w:rPr>
          <w:rFonts w:ascii="Cambria" w:hAnsi="Cambria" w:cs="Times New Roman"/>
          <w:color w:val="4F81BD" w:themeColor="accent1"/>
        </w:rPr>
        <w:t xml:space="preserve"> l'article 6</w:t>
      </w:r>
      <w:r w:rsidR="00010695">
        <w:rPr>
          <w:rFonts w:ascii="Cambria" w:hAnsi="Cambria" w:cs="Times New Roman"/>
          <w:color w:val="4F81BD" w:themeColor="accent1"/>
        </w:rPr>
        <w:t xml:space="preserve"> </w:t>
      </w:r>
      <w:r w:rsidRPr="004C0E3C">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Pr="004C0E3C">
        <w:rPr>
          <w:rFonts w:ascii="Cambria" w:hAnsi="Cambria" w:cs="Times New Roman"/>
          <w:color w:val="4F81BD" w:themeColor="accent1"/>
        </w:rPr>
        <w:t xml:space="preserve"> et l'article 16 de la </w:t>
      </w:r>
      <w:r w:rsidR="00010695">
        <w:rPr>
          <w:rFonts w:ascii="Cambria" w:hAnsi="Cambria" w:cs="Times New Roman"/>
          <w:color w:val="4F81BD" w:themeColor="accent1"/>
        </w:rPr>
        <w:t>DDHC</w:t>
      </w:r>
      <w:r w:rsidRPr="004C0E3C">
        <w:rPr>
          <w:rFonts w:ascii="Cambria" w:hAnsi="Cambria" w:cs="Times New Roman"/>
          <w:color w:val="4F81BD" w:themeColor="accent1"/>
        </w:rPr>
        <w:t xml:space="preserve"> pose</w:t>
      </w:r>
      <w:r w:rsidR="00010695">
        <w:rPr>
          <w:rFonts w:ascii="Cambria" w:hAnsi="Cambria" w:cs="Times New Roman"/>
          <w:color w:val="4F81BD" w:themeColor="accent1"/>
        </w:rPr>
        <w:t>nt</w:t>
      </w:r>
      <w:r w:rsidRPr="004C0E3C">
        <w:rPr>
          <w:rFonts w:ascii="Cambria" w:hAnsi="Cambria" w:cs="Times New Roman"/>
          <w:color w:val="4F81BD" w:themeColor="accent1"/>
        </w:rPr>
        <w:t xml:space="preserve"> les mêmes garanties d'indépendance et d'impartialité. Ainsi</w:t>
      </w:r>
      <w:r w:rsidR="00010695">
        <w:rPr>
          <w:rFonts w:ascii="Cambria" w:hAnsi="Cambria" w:cs="Times New Roman"/>
          <w:color w:val="4F81BD" w:themeColor="accent1"/>
        </w:rPr>
        <w:t>,</w:t>
      </w:r>
      <w:r w:rsidRPr="004C0E3C">
        <w:rPr>
          <w:rFonts w:ascii="Cambria" w:hAnsi="Cambria" w:cs="Times New Roman"/>
          <w:color w:val="4F81BD" w:themeColor="accent1"/>
        </w:rPr>
        <w:t xml:space="preserve"> si l'affaire avait été renvoyé</w:t>
      </w:r>
      <w:r w:rsidR="00010695">
        <w:rPr>
          <w:rFonts w:ascii="Cambria" w:hAnsi="Cambria" w:cs="Times New Roman"/>
          <w:color w:val="4F81BD" w:themeColor="accent1"/>
        </w:rPr>
        <w:t>e</w:t>
      </w:r>
      <w:r w:rsidRPr="004C0E3C">
        <w:rPr>
          <w:rFonts w:ascii="Cambria" w:hAnsi="Cambria" w:cs="Times New Roman"/>
          <w:color w:val="4F81BD" w:themeColor="accent1"/>
        </w:rPr>
        <w:t xml:space="preserve"> devant le Cour de cassation</w:t>
      </w:r>
      <w:r w:rsidR="00010695">
        <w:rPr>
          <w:rFonts w:ascii="Cambria" w:hAnsi="Cambria" w:cs="Times New Roman"/>
          <w:color w:val="4F81BD" w:themeColor="accent1"/>
        </w:rPr>
        <w:t>,</w:t>
      </w:r>
      <w:r w:rsidRPr="004C0E3C">
        <w:rPr>
          <w:rFonts w:ascii="Cambria" w:hAnsi="Cambria" w:cs="Times New Roman"/>
          <w:color w:val="4F81BD" w:themeColor="accent1"/>
        </w:rPr>
        <w:t xml:space="preserve"> cette dernière aurait certainement opéré un contrôle non pas de constitutionnalité</w:t>
      </w:r>
      <w:r w:rsidR="00D90625">
        <w:rPr>
          <w:rFonts w:ascii="Cambria" w:hAnsi="Cambria" w:cs="Times New Roman"/>
          <w:color w:val="4F81BD" w:themeColor="accent1"/>
        </w:rPr>
        <w:t xml:space="preserve"> mais un contrôle de convention</w:t>
      </w:r>
      <w:r w:rsidRPr="004C0E3C">
        <w:rPr>
          <w:rFonts w:ascii="Cambria" w:hAnsi="Cambria" w:cs="Times New Roman"/>
          <w:color w:val="4F81BD" w:themeColor="accent1"/>
        </w:rPr>
        <w:t xml:space="preserve">alité. </w:t>
      </w:r>
    </w:p>
    <w:p w14:paraId="526B9B28" w14:textId="161E1575" w:rsidR="00A9115F" w:rsidRDefault="00221132" w:rsidP="00051EB2">
      <w:pPr>
        <w:widowControl w:val="0"/>
        <w:tabs>
          <w:tab w:val="left" w:pos="1125"/>
        </w:tabs>
        <w:autoSpaceDE w:val="0"/>
        <w:autoSpaceDN w:val="0"/>
        <w:adjustRightInd w:val="0"/>
        <w:jc w:val="both"/>
        <w:rPr>
          <w:rFonts w:ascii="Cambria" w:hAnsi="Cambria" w:cs="Times New Roman"/>
          <w:color w:val="4F81BD" w:themeColor="accent1"/>
        </w:rPr>
      </w:pPr>
      <w:r>
        <w:rPr>
          <w:rFonts w:ascii="Cambria" w:hAnsi="Cambria" w:cs="Times New Roman"/>
          <w:color w:val="4F81BD" w:themeColor="accent1"/>
        </w:rPr>
        <w:t>Quoi qu’il en soit</w:t>
      </w:r>
      <w:r w:rsidR="004C0E3C" w:rsidRPr="004C0E3C">
        <w:rPr>
          <w:rFonts w:ascii="Cambria" w:hAnsi="Cambria" w:cs="Times New Roman"/>
          <w:color w:val="4F81BD" w:themeColor="accent1"/>
        </w:rPr>
        <w:t xml:space="preserve">, </w:t>
      </w:r>
      <w:r>
        <w:rPr>
          <w:rFonts w:ascii="Cambria" w:hAnsi="Cambria" w:cs="Times New Roman"/>
          <w:color w:val="4F81BD" w:themeColor="accent1"/>
        </w:rPr>
        <w:t>grâce à</w:t>
      </w:r>
      <w:r w:rsidR="004C0E3C" w:rsidRPr="004C0E3C">
        <w:rPr>
          <w:rFonts w:ascii="Cambria" w:hAnsi="Cambria" w:cs="Times New Roman"/>
          <w:color w:val="4F81BD" w:themeColor="accent1"/>
        </w:rPr>
        <w:t xml:space="preserve"> cet arrêt, nous pouvons suggérer que les </w:t>
      </w:r>
      <w:r w:rsidR="00A41681">
        <w:rPr>
          <w:rFonts w:ascii="Cambria" w:hAnsi="Cambria" w:cs="Times New Roman"/>
          <w:color w:val="4F81BD" w:themeColor="accent1"/>
        </w:rPr>
        <w:t>Tribunal des affaires de la Sécurité sociale</w:t>
      </w:r>
      <w:r w:rsidR="004C0E3C" w:rsidRPr="004C0E3C">
        <w:rPr>
          <w:rFonts w:ascii="Cambria" w:hAnsi="Cambria" w:cs="Times New Roman"/>
          <w:color w:val="4F81BD" w:themeColor="accent1"/>
        </w:rPr>
        <w:t xml:space="preserve"> sont biens conformes dans leur organisation aux exigences formulées à l'article 6</w:t>
      </w:r>
      <w:r w:rsidR="00CC03E6">
        <w:rPr>
          <w:rFonts w:ascii="Cambria" w:hAnsi="Cambria" w:cs="Times New Roman"/>
          <w:color w:val="4F81BD" w:themeColor="accent1"/>
        </w:rPr>
        <w:t xml:space="preserve"> </w:t>
      </w:r>
      <w:r w:rsidR="004C0E3C" w:rsidRPr="004C0E3C">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004C0E3C" w:rsidRPr="004C0E3C">
        <w:rPr>
          <w:rFonts w:ascii="Cambria" w:hAnsi="Cambria" w:cs="Times New Roman"/>
          <w:color w:val="4F81BD" w:themeColor="accent1"/>
        </w:rPr>
        <w:t xml:space="preserve">. </w:t>
      </w:r>
    </w:p>
    <w:p w14:paraId="257FDD47" w14:textId="033B08CA" w:rsidR="004D0861" w:rsidRDefault="004D0861" w:rsidP="004D0861">
      <w:pPr>
        <w:pStyle w:val="Titre2"/>
      </w:pPr>
      <w:r>
        <w:t xml:space="preserve">B/ </w:t>
      </w:r>
      <w:r w:rsidR="00985396">
        <w:t xml:space="preserve">Un manquement à l’exigence d’un procès équitable. </w:t>
      </w:r>
    </w:p>
    <w:p w14:paraId="2749734D" w14:textId="77777777" w:rsidR="004D0861" w:rsidRDefault="004D0861" w:rsidP="004D0861"/>
    <w:p w14:paraId="5AC496EA" w14:textId="77777777" w:rsidR="0063301F" w:rsidRDefault="00557B10" w:rsidP="00557B10">
      <w:pPr>
        <w:jc w:val="both"/>
        <w:rPr>
          <w:color w:val="4F81BD" w:themeColor="accent1"/>
        </w:rPr>
      </w:pPr>
      <w:r w:rsidRPr="00E26BD9">
        <w:rPr>
          <w:color w:val="4F81BD" w:themeColor="accent1"/>
        </w:rPr>
        <w:t>Le caractère contradictoire est le premier principe énoncé par l’article 6</w:t>
      </w:r>
      <w:r w:rsidR="003D292A">
        <w:rPr>
          <w:color w:val="4F81BD" w:themeColor="accent1"/>
        </w:rPr>
        <w:t xml:space="preserve"> </w:t>
      </w:r>
      <w:r w:rsidRPr="00E26BD9">
        <w:rPr>
          <w:color w:val="4F81BD" w:themeColor="accent1"/>
        </w:rPr>
        <w:t xml:space="preserve">§1 de la Convention européenne </w:t>
      </w:r>
      <w:r w:rsidR="003D292A">
        <w:rPr>
          <w:color w:val="4F81BD" w:themeColor="accent1"/>
        </w:rPr>
        <w:t xml:space="preserve">de sauvegarde </w:t>
      </w:r>
      <w:r w:rsidRPr="00E26BD9">
        <w:rPr>
          <w:color w:val="4F81BD" w:themeColor="accent1"/>
        </w:rPr>
        <w:t>des droits de l’</w:t>
      </w:r>
      <w:r w:rsidR="003D292A">
        <w:rPr>
          <w:color w:val="4F81BD" w:themeColor="accent1"/>
        </w:rPr>
        <w:t>H</w:t>
      </w:r>
      <w:r w:rsidRPr="00E26BD9">
        <w:rPr>
          <w:color w:val="4F81BD" w:themeColor="accent1"/>
        </w:rPr>
        <w:t>omme : «</w:t>
      </w:r>
      <w:r w:rsidR="003D292A">
        <w:rPr>
          <w:color w:val="4F81BD" w:themeColor="accent1"/>
        </w:rPr>
        <w:t xml:space="preserve"> </w:t>
      </w:r>
      <w:r w:rsidR="003D292A" w:rsidRPr="003D292A">
        <w:rPr>
          <w:i/>
          <w:color w:val="4F81BD" w:themeColor="accent1"/>
        </w:rPr>
        <w:t>T</w:t>
      </w:r>
      <w:r w:rsidRPr="003D292A">
        <w:rPr>
          <w:i/>
          <w:color w:val="4F81BD" w:themeColor="accent1"/>
        </w:rPr>
        <w:t>oute personne a droit à ce que sa cause soit entendue équitablement</w:t>
      </w:r>
      <w:r w:rsidRPr="00E26BD9">
        <w:rPr>
          <w:color w:val="4F81BD" w:themeColor="accent1"/>
        </w:rPr>
        <w:t> ». Il est notable que ce principe est associé au principe de l’égalité des armes et des droits de la défense et a été consacré de nombreuses fois tant par le Conseil constitutionnel comme principe général du droit de la procédure civile (</w:t>
      </w:r>
      <w:r w:rsidR="0078590D">
        <w:rPr>
          <w:color w:val="4F81BD" w:themeColor="accent1"/>
        </w:rPr>
        <w:t xml:space="preserve">dans une </w:t>
      </w:r>
      <w:r w:rsidRPr="00E26BD9">
        <w:rPr>
          <w:color w:val="4F81BD" w:themeColor="accent1"/>
        </w:rPr>
        <w:t>décision du 13 novembre 1985) que par la Cour européenne des droits de l’Homme (</w:t>
      </w:r>
      <w:r w:rsidR="0078590D">
        <w:rPr>
          <w:color w:val="4F81BD" w:themeColor="accent1"/>
        </w:rPr>
        <w:t xml:space="preserve">dans une décision </w:t>
      </w:r>
      <w:r w:rsidRPr="0078590D">
        <w:rPr>
          <w:color w:val="4F81BD" w:themeColor="accent1"/>
          <w:u w:val="single"/>
        </w:rPr>
        <w:t xml:space="preserve">Mantovanelli </w:t>
      </w:r>
      <w:r w:rsidR="0078590D">
        <w:rPr>
          <w:color w:val="4F81BD" w:themeColor="accent1"/>
          <w:u w:val="single"/>
        </w:rPr>
        <w:t>c/</w:t>
      </w:r>
      <w:r w:rsidRPr="0078590D">
        <w:rPr>
          <w:color w:val="4F81BD" w:themeColor="accent1"/>
          <w:u w:val="single"/>
        </w:rPr>
        <w:t xml:space="preserve"> </w:t>
      </w:r>
      <w:r w:rsidR="0078590D">
        <w:rPr>
          <w:color w:val="4F81BD" w:themeColor="accent1"/>
          <w:u w:val="single"/>
        </w:rPr>
        <w:t>France</w:t>
      </w:r>
      <w:r w:rsidR="0078590D">
        <w:rPr>
          <w:color w:val="4F81BD" w:themeColor="accent1"/>
        </w:rPr>
        <w:t xml:space="preserve"> du</w:t>
      </w:r>
      <w:r w:rsidRPr="00E26BD9">
        <w:rPr>
          <w:color w:val="4F81BD" w:themeColor="accent1"/>
        </w:rPr>
        <w:t xml:space="preserve"> 18 mars 1997). </w:t>
      </w:r>
    </w:p>
    <w:p w14:paraId="3C19BF63" w14:textId="77777777" w:rsidR="0057295C" w:rsidRDefault="0057295C" w:rsidP="00557B10">
      <w:pPr>
        <w:jc w:val="both"/>
        <w:rPr>
          <w:color w:val="4F81BD" w:themeColor="accent1"/>
        </w:rPr>
      </w:pPr>
    </w:p>
    <w:p w14:paraId="4984F9BC" w14:textId="77777777" w:rsidR="0057295C" w:rsidRDefault="00557B10" w:rsidP="00557B10">
      <w:pPr>
        <w:jc w:val="both"/>
        <w:rPr>
          <w:color w:val="4F81BD" w:themeColor="accent1"/>
        </w:rPr>
      </w:pPr>
      <w:r w:rsidRPr="00E26BD9">
        <w:rPr>
          <w:color w:val="4F81BD" w:themeColor="accent1"/>
        </w:rPr>
        <w:t>Ceci suppose dès lors que les parties aient connaissance de toutes les pièces communiquées au juge et notamment celles versées au débat telles que les observations. En effet</w:t>
      </w:r>
      <w:r w:rsidR="0057295C">
        <w:rPr>
          <w:color w:val="4F81BD" w:themeColor="accent1"/>
        </w:rPr>
        <w:t>,</w:t>
      </w:r>
      <w:r w:rsidRPr="00E26BD9">
        <w:rPr>
          <w:color w:val="4F81BD" w:themeColor="accent1"/>
        </w:rPr>
        <w:t xml:space="preserve"> ceci permet aux parties de discuter de la valeur et de la portée d’une pièce produite et donc d’en limiter les conséquences voire d’opposer sa recevabilité. </w:t>
      </w:r>
    </w:p>
    <w:p w14:paraId="07C9147B" w14:textId="6C350531" w:rsidR="00557B10" w:rsidRPr="00E26BD9" w:rsidRDefault="00557B10" w:rsidP="00557B10">
      <w:pPr>
        <w:jc w:val="both"/>
        <w:rPr>
          <w:color w:val="4F81BD" w:themeColor="accent1"/>
        </w:rPr>
      </w:pPr>
      <w:r w:rsidRPr="00E26BD9">
        <w:rPr>
          <w:color w:val="4F81BD" w:themeColor="accent1"/>
        </w:rPr>
        <w:t>Cependant</w:t>
      </w:r>
      <w:r w:rsidR="0057295C">
        <w:rPr>
          <w:color w:val="4F81BD" w:themeColor="accent1"/>
        </w:rPr>
        <w:t>,</w:t>
      </w:r>
      <w:r w:rsidRPr="00E26BD9">
        <w:rPr>
          <w:color w:val="4F81BD" w:themeColor="accent1"/>
        </w:rPr>
        <w:t xml:space="preserve"> en droit de la procédure civile comme pour le contentieux de la </w:t>
      </w:r>
      <w:r w:rsidR="0057295C">
        <w:rPr>
          <w:color w:val="4F81BD" w:themeColor="accent1"/>
        </w:rPr>
        <w:t>S</w:t>
      </w:r>
      <w:r w:rsidRPr="00E26BD9">
        <w:rPr>
          <w:color w:val="4F81BD" w:themeColor="accent1"/>
        </w:rPr>
        <w:t>écurité sociale, ce principe n’est une obligation que durant la tenue des débats et de la lecture de la décision, la phase d’instruction n’y étant par principe pas tenue. Concrètement</w:t>
      </w:r>
      <w:r w:rsidR="00F52D70">
        <w:rPr>
          <w:color w:val="4F81BD" w:themeColor="accent1"/>
        </w:rPr>
        <w:t>,</w:t>
      </w:r>
      <w:r w:rsidRPr="00E26BD9">
        <w:rPr>
          <w:color w:val="4F81BD" w:themeColor="accent1"/>
        </w:rPr>
        <w:t xml:space="preserve"> les pièces transmises lors de l’instruction ne seront pas obligatoirement communiquées à la partie adverse (ou aux deux parties pour le cas d’une mesure ordonnée par le juge) sous réserve qu’elles le soient durant la phase des débats et de décision.</w:t>
      </w:r>
    </w:p>
    <w:p w14:paraId="2D21804B" w14:textId="77777777" w:rsidR="00801D64" w:rsidRDefault="00557B10" w:rsidP="00557B10">
      <w:pPr>
        <w:jc w:val="both"/>
        <w:rPr>
          <w:color w:val="4F81BD" w:themeColor="accent1"/>
        </w:rPr>
      </w:pPr>
      <w:r w:rsidRPr="00E26BD9">
        <w:rPr>
          <w:color w:val="4F81BD" w:themeColor="accent1"/>
        </w:rPr>
        <w:t xml:space="preserve">Malgré l’importance juridique à appliquer ce principe et ses nombreuses consécrations, le système judiciaire de la </w:t>
      </w:r>
      <w:r w:rsidR="003C62C8">
        <w:rPr>
          <w:color w:val="4F81BD" w:themeColor="accent1"/>
        </w:rPr>
        <w:t>S</w:t>
      </w:r>
      <w:r w:rsidRPr="00E26BD9">
        <w:rPr>
          <w:color w:val="4F81BD" w:themeColor="accent1"/>
        </w:rPr>
        <w:t xml:space="preserve">écurité sociale ne semble pas le prendre en compte. </w:t>
      </w:r>
    </w:p>
    <w:p w14:paraId="2C95ABE1" w14:textId="77777777" w:rsidR="00801D64" w:rsidRDefault="00801D64" w:rsidP="00557B10">
      <w:pPr>
        <w:jc w:val="both"/>
        <w:rPr>
          <w:color w:val="4F81BD" w:themeColor="accent1"/>
        </w:rPr>
      </w:pPr>
    </w:p>
    <w:p w14:paraId="68EAD9DE" w14:textId="77777777" w:rsidR="006A0E22" w:rsidRDefault="00557B10" w:rsidP="00557B10">
      <w:pPr>
        <w:jc w:val="both"/>
        <w:rPr>
          <w:color w:val="4F81BD" w:themeColor="accent1"/>
        </w:rPr>
      </w:pPr>
      <w:r w:rsidRPr="00E26BD9">
        <w:rPr>
          <w:color w:val="4F81BD" w:themeColor="accent1"/>
        </w:rPr>
        <w:t>Dans le cadre d’un contentieux lié à un arrêt de la CNITAT, le professeur Pierre Lyon-Caen perçoit un tel moyen comme inutile puisque la contestation de l’indépendance et de l’impartialité semble inévitablement recevable et constitutive de condamnation de celle-ci. Ainsi</w:t>
      </w:r>
      <w:r w:rsidR="00173C96">
        <w:rPr>
          <w:color w:val="4F81BD" w:themeColor="accent1"/>
        </w:rPr>
        <w:t>,</w:t>
      </w:r>
      <w:r w:rsidRPr="00E26BD9">
        <w:rPr>
          <w:color w:val="4F81BD" w:themeColor="accent1"/>
        </w:rPr>
        <w:t xml:space="preserve"> selon ses conclusions, ce seul moyen serait suffisant. </w:t>
      </w:r>
    </w:p>
    <w:p w14:paraId="49F3FF91" w14:textId="77777777" w:rsidR="0002408E" w:rsidRDefault="00557B10" w:rsidP="00557B10">
      <w:pPr>
        <w:jc w:val="both"/>
        <w:rPr>
          <w:color w:val="4F81BD" w:themeColor="accent1"/>
        </w:rPr>
      </w:pPr>
      <w:r w:rsidRPr="00E26BD9">
        <w:rPr>
          <w:color w:val="4F81BD" w:themeColor="accent1"/>
        </w:rPr>
        <w:t>Pour autant</w:t>
      </w:r>
      <w:r w:rsidR="00CB133F">
        <w:rPr>
          <w:color w:val="4F81BD" w:themeColor="accent1"/>
        </w:rPr>
        <w:t>,</w:t>
      </w:r>
      <w:r w:rsidRPr="00E26BD9">
        <w:rPr>
          <w:color w:val="4F81BD" w:themeColor="accent1"/>
        </w:rPr>
        <w:t xml:space="preserve"> l’arrêt de l’Assemblée plénière de la Cour de cassation n’a pas suivi ses préconisations, elle a retenu tous les moyens formulés par l’employeur à l’encontre de la validité de l’arrêt rendu par la CNITAT. Celui-ci agissait dans le cadre d’un contentieux lié à la reconnaissance d’une incapacité permanente partielle de son salarié par la CNITAT, arrêt confirmatif du jugement rendu par le TCI. Il s</w:t>
      </w:r>
      <w:r w:rsidR="00510D29">
        <w:rPr>
          <w:color w:val="4F81BD" w:themeColor="accent1"/>
        </w:rPr>
        <w:t>’est basé</w:t>
      </w:r>
      <w:r w:rsidRPr="00E26BD9">
        <w:rPr>
          <w:color w:val="4F81BD" w:themeColor="accent1"/>
        </w:rPr>
        <w:t xml:space="preserve"> sur l’article 6</w:t>
      </w:r>
      <w:r w:rsidR="00510D29">
        <w:rPr>
          <w:color w:val="4F81BD" w:themeColor="accent1"/>
        </w:rPr>
        <w:t xml:space="preserve"> </w:t>
      </w:r>
      <w:r w:rsidRPr="00E26BD9">
        <w:rPr>
          <w:color w:val="4F81BD" w:themeColor="accent1"/>
        </w:rPr>
        <w:t xml:space="preserve">§1 de la Convention européenne </w:t>
      </w:r>
      <w:r w:rsidR="00510D29">
        <w:rPr>
          <w:color w:val="4F81BD" w:themeColor="accent1"/>
        </w:rPr>
        <w:t xml:space="preserve">de sauvegarde </w:t>
      </w:r>
      <w:r w:rsidRPr="00E26BD9">
        <w:rPr>
          <w:color w:val="4F81BD" w:themeColor="accent1"/>
        </w:rPr>
        <w:t>des droits de l’</w:t>
      </w:r>
      <w:r w:rsidR="00510D29">
        <w:rPr>
          <w:color w:val="4F81BD" w:themeColor="accent1"/>
        </w:rPr>
        <w:t>H</w:t>
      </w:r>
      <w:r w:rsidRPr="00E26BD9">
        <w:rPr>
          <w:color w:val="4F81BD" w:themeColor="accent1"/>
        </w:rPr>
        <w:t xml:space="preserve">omme envers ses dispositions d’impartialité et d’indépendance des juges, d’audition publique et équitable de la cause (c’est-à-dire du principe du contradictoire) ainsi que les articles 14, 16 et 433 du Code de procédure civile. </w:t>
      </w:r>
    </w:p>
    <w:p w14:paraId="482378E4" w14:textId="374130F7" w:rsidR="00557B10" w:rsidRPr="00E26BD9" w:rsidRDefault="00557B10" w:rsidP="00557B10">
      <w:pPr>
        <w:jc w:val="both"/>
        <w:rPr>
          <w:color w:val="4F81BD" w:themeColor="accent1"/>
        </w:rPr>
      </w:pPr>
      <w:r w:rsidRPr="00E26BD9">
        <w:rPr>
          <w:color w:val="4F81BD" w:themeColor="accent1"/>
        </w:rPr>
        <w:t>L’Assemblée Plénière cassa l’arrêt de la CNITAT le 22 décembre 2000 au motif que la composition et le fonctionnement de la Cour ne respecte pas les dispositions de l’article 6</w:t>
      </w:r>
      <w:r w:rsidR="00266802">
        <w:rPr>
          <w:color w:val="4F81BD" w:themeColor="accent1"/>
        </w:rPr>
        <w:t xml:space="preserve"> </w:t>
      </w:r>
      <w:r w:rsidRPr="00E26BD9">
        <w:rPr>
          <w:color w:val="4F81BD" w:themeColor="accent1"/>
        </w:rPr>
        <w:t xml:space="preserve">§1 de la Convention européenne </w:t>
      </w:r>
      <w:r w:rsidR="00266802">
        <w:rPr>
          <w:color w:val="4F81BD" w:themeColor="accent1"/>
        </w:rPr>
        <w:t xml:space="preserve">de sauvegarde </w:t>
      </w:r>
      <w:r w:rsidRPr="00E26BD9">
        <w:rPr>
          <w:color w:val="4F81BD" w:themeColor="accent1"/>
        </w:rPr>
        <w:t>des droits de l’Homme.</w:t>
      </w:r>
    </w:p>
    <w:p w14:paraId="7E5DE187" w14:textId="77777777" w:rsidR="00580AFF" w:rsidRDefault="00580AFF" w:rsidP="00557B10">
      <w:pPr>
        <w:jc w:val="both"/>
        <w:rPr>
          <w:color w:val="4F81BD" w:themeColor="accent1"/>
        </w:rPr>
      </w:pPr>
    </w:p>
    <w:p w14:paraId="47D91365" w14:textId="6BD5DD24" w:rsidR="004D0861" w:rsidRDefault="00557B10" w:rsidP="00557B10">
      <w:pPr>
        <w:jc w:val="both"/>
        <w:rPr>
          <w:color w:val="4F81BD" w:themeColor="accent1"/>
        </w:rPr>
      </w:pPr>
      <w:r w:rsidRPr="00E26BD9">
        <w:rPr>
          <w:color w:val="4F81BD" w:themeColor="accent1"/>
        </w:rPr>
        <w:t>Cet arrêt est donc intéressant pour la notion de procès équitable au sein de la CNITAT et</w:t>
      </w:r>
      <w:r w:rsidR="004E733A">
        <w:rPr>
          <w:color w:val="4F81BD" w:themeColor="accent1"/>
        </w:rPr>
        <w:t>,</w:t>
      </w:r>
      <w:r w:rsidRPr="00E26BD9">
        <w:rPr>
          <w:color w:val="4F81BD" w:themeColor="accent1"/>
        </w:rPr>
        <w:t xml:space="preserve"> en particulier, du principe du respect du contradictoire. En effet</w:t>
      </w:r>
      <w:r w:rsidR="004E733A">
        <w:rPr>
          <w:color w:val="4F81BD" w:themeColor="accent1"/>
        </w:rPr>
        <w:t>,</w:t>
      </w:r>
      <w:r w:rsidRPr="00E26BD9">
        <w:rPr>
          <w:color w:val="4F81BD" w:themeColor="accent1"/>
        </w:rPr>
        <w:t xml:space="preserve"> il pose deux grandes condamnations sur ce fondement : l’une relative au </w:t>
      </w:r>
      <w:r w:rsidR="000C36D8">
        <w:rPr>
          <w:color w:val="4F81BD" w:themeColor="accent1"/>
        </w:rPr>
        <w:t>déroulement de la procédure (1) et</w:t>
      </w:r>
      <w:r w:rsidRPr="00E26BD9">
        <w:rPr>
          <w:color w:val="4F81BD" w:themeColor="accent1"/>
        </w:rPr>
        <w:t xml:space="preserve"> l’autre relative à la tenue du procès (2).  </w:t>
      </w:r>
    </w:p>
    <w:p w14:paraId="79E87B09" w14:textId="77777777" w:rsidR="00126647" w:rsidRDefault="00126647" w:rsidP="00557B10">
      <w:pPr>
        <w:jc w:val="both"/>
        <w:rPr>
          <w:color w:val="4F81BD" w:themeColor="accent1"/>
        </w:rPr>
      </w:pPr>
    </w:p>
    <w:p w14:paraId="66C5138F" w14:textId="4981BB5F" w:rsidR="00126647" w:rsidRDefault="00126647" w:rsidP="00557B10">
      <w:pPr>
        <w:jc w:val="both"/>
      </w:pPr>
      <w:r w:rsidRPr="00A84F90">
        <w:t xml:space="preserve">1/ La question de la communication des pièces et notamment de l’expertise médicale. </w:t>
      </w:r>
    </w:p>
    <w:p w14:paraId="1E296E91" w14:textId="77777777" w:rsidR="00A84F90" w:rsidRDefault="00A84F90" w:rsidP="00557B10">
      <w:pPr>
        <w:jc w:val="both"/>
      </w:pPr>
    </w:p>
    <w:p w14:paraId="74F8B3DE" w14:textId="77777777" w:rsidR="00954F5A" w:rsidRPr="00954F5A" w:rsidRDefault="00954F5A" w:rsidP="00954F5A">
      <w:pPr>
        <w:jc w:val="both"/>
        <w:rPr>
          <w:color w:val="4F81BD" w:themeColor="accent1"/>
        </w:rPr>
      </w:pPr>
      <w:r w:rsidRPr="00954F5A">
        <w:rPr>
          <w:color w:val="4F81BD" w:themeColor="accent1"/>
        </w:rPr>
        <w:t>L’arrêt de l’Assemblée plénière du 22 décembre 2000 pose un double principe envers le caractère contradictoire de la procédure.</w:t>
      </w:r>
    </w:p>
    <w:p w14:paraId="34DDEB0E" w14:textId="77777777" w:rsidR="0081510B" w:rsidRDefault="0081510B" w:rsidP="00954F5A">
      <w:pPr>
        <w:jc w:val="both"/>
        <w:rPr>
          <w:color w:val="4F81BD" w:themeColor="accent1"/>
        </w:rPr>
      </w:pPr>
    </w:p>
    <w:p w14:paraId="1288EA9E" w14:textId="77777777" w:rsidR="00BF39EE" w:rsidRDefault="00954F5A" w:rsidP="00954F5A">
      <w:pPr>
        <w:jc w:val="both"/>
        <w:rPr>
          <w:color w:val="4F81BD" w:themeColor="accent1"/>
        </w:rPr>
      </w:pPr>
      <w:r w:rsidRPr="00954F5A">
        <w:rPr>
          <w:color w:val="4F81BD" w:themeColor="accent1"/>
        </w:rPr>
        <w:t>Tout d’abord, comme toute juridiction, la CNITAT a le droit de demander des mesures d’instruction, tel que le recours à des expertises. Ce droit est aussi octroyé aux parties, mais le refus formulé par le juge à cette demande ne constitue pas en soi une violation de l’article 6</w:t>
      </w:r>
      <w:r w:rsidR="00C76919">
        <w:rPr>
          <w:color w:val="4F81BD" w:themeColor="accent1"/>
        </w:rPr>
        <w:t xml:space="preserve"> </w:t>
      </w:r>
      <w:r w:rsidRPr="00954F5A">
        <w:rPr>
          <w:color w:val="4F81BD" w:themeColor="accent1"/>
        </w:rPr>
        <w:t xml:space="preserve">§1 de la Convention européenne </w:t>
      </w:r>
      <w:r w:rsidR="00C76919">
        <w:rPr>
          <w:color w:val="4F81BD" w:themeColor="accent1"/>
        </w:rPr>
        <w:t xml:space="preserve">de sauvegarde </w:t>
      </w:r>
      <w:r w:rsidRPr="00954F5A">
        <w:rPr>
          <w:color w:val="4F81BD" w:themeColor="accent1"/>
        </w:rPr>
        <w:t xml:space="preserve">des droits de l’Homme puisqu’il n’est pas forcément de nature à faire perdre à la partie une chance sérieuse de succès. </w:t>
      </w:r>
    </w:p>
    <w:p w14:paraId="49010C11" w14:textId="4CEC8FFB" w:rsidR="00DF332F" w:rsidRDefault="00954F5A" w:rsidP="00954F5A">
      <w:pPr>
        <w:jc w:val="both"/>
        <w:rPr>
          <w:color w:val="4F81BD" w:themeColor="accent1"/>
        </w:rPr>
      </w:pPr>
      <w:r w:rsidRPr="00954F5A">
        <w:rPr>
          <w:color w:val="4F81BD" w:themeColor="accent1"/>
        </w:rPr>
        <w:t xml:space="preserve">De plus, le refus peut être légitime : le recours à l’expertise ne doit pas viser à suppléer à la carence d’une partie dans l’administration de la preuve ou à apporter une simple confirmation, la juridiction s’estimant alors suffisamment informée. Celles-ci sont particulièrement utiles au cours d’un procès qui se fonde sur l’état de santé d’une des parties. Néanmoins, au contraire des autres juridictions, la loi n’impose pas la communication du rapport d’expertise, ou tout du moins de l’avis, du médecin aux parties, ce qui est du coup rarement fait volontairement. Or le juge de la CNITAT prendra nécessairement compte de ce rapport, voire l’adoptera quasi systématiquement ! </w:t>
      </w:r>
    </w:p>
    <w:p w14:paraId="4838BA5F" w14:textId="77777777" w:rsidR="00DF332F" w:rsidRDefault="00954F5A" w:rsidP="00954F5A">
      <w:pPr>
        <w:jc w:val="both"/>
        <w:rPr>
          <w:color w:val="4F81BD" w:themeColor="accent1"/>
        </w:rPr>
      </w:pPr>
      <w:r w:rsidRPr="00954F5A">
        <w:rPr>
          <w:color w:val="4F81BD" w:themeColor="accent1"/>
        </w:rPr>
        <w:t xml:space="preserve">La problématique du principe du contradictoire n’est pas en fait la prise en compte d’un élément de preuve par le juge mais la possibilité que chaque partie en ait eu connaissance, donc soit sur un pied d’égalité (CEDH, 6 mai 1985, </w:t>
      </w:r>
      <w:r w:rsidRPr="000A67BD">
        <w:rPr>
          <w:color w:val="4F81BD" w:themeColor="accent1"/>
          <w:u w:val="single"/>
        </w:rPr>
        <w:t>Bönisch c</w:t>
      </w:r>
      <w:r w:rsidR="000A67BD" w:rsidRPr="000A67BD">
        <w:rPr>
          <w:color w:val="4F81BD" w:themeColor="accent1"/>
          <w:u w:val="single"/>
        </w:rPr>
        <w:t>/</w:t>
      </w:r>
      <w:r w:rsidRPr="000A67BD">
        <w:rPr>
          <w:color w:val="4F81BD" w:themeColor="accent1"/>
          <w:u w:val="single"/>
        </w:rPr>
        <w:t xml:space="preserve"> Autriche</w:t>
      </w:r>
      <w:r w:rsidRPr="00954F5A">
        <w:rPr>
          <w:color w:val="4F81BD" w:themeColor="accent1"/>
        </w:rPr>
        <w:t xml:space="preserve">), et ait eu la possibilité de s’en justifier, d’en discuter, ce qui n’est visiblement pas le cas pour ce type de litige. </w:t>
      </w:r>
    </w:p>
    <w:p w14:paraId="2219035D" w14:textId="2A5C600F" w:rsidR="00C36CA0" w:rsidRDefault="00954F5A" w:rsidP="00954F5A">
      <w:pPr>
        <w:jc w:val="both"/>
        <w:rPr>
          <w:color w:val="4F81BD" w:themeColor="accent1"/>
        </w:rPr>
      </w:pPr>
      <w:r w:rsidRPr="00954F5A">
        <w:rPr>
          <w:color w:val="4F81BD" w:themeColor="accent1"/>
        </w:rPr>
        <w:t xml:space="preserve">La Cour européenne des droits de l’Homme, dans l’affaire </w:t>
      </w:r>
      <w:r w:rsidRPr="00961B25">
        <w:rPr>
          <w:color w:val="4F81BD" w:themeColor="accent1"/>
          <w:u w:val="single"/>
        </w:rPr>
        <w:t>Dombo c</w:t>
      </w:r>
      <w:r w:rsidR="00961B25" w:rsidRPr="00961B25">
        <w:rPr>
          <w:color w:val="4F81BD" w:themeColor="accent1"/>
          <w:u w:val="single"/>
        </w:rPr>
        <w:t>/</w:t>
      </w:r>
      <w:r w:rsidRPr="00961B25">
        <w:rPr>
          <w:color w:val="4F81BD" w:themeColor="accent1"/>
          <w:u w:val="single"/>
        </w:rPr>
        <w:t xml:space="preserve"> Pays-Bas</w:t>
      </w:r>
      <w:r w:rsidRPr="00954F5A">
        <w:rPr>
          <w:color w:val="4F81BD" w:themeColor="accent1"/>
        </w:rPr>
        <w:t xml:space="preserve"> du 27 octobre 1993</w:t>
      </w:r>
      <w:r w:rsidR="00D00838">
        <w:rPr>
          <w:color w:val="4F81BD" w:themeColor="accent1"/>
        </w:rPr>
        <w:t>,</w:t>
      </w:r>
      <w:r w:rsidRPr="00954F5A">
        <w:rPr>
          <w:color w:val="4F81BD" w:themeColor="accent1"/>
        </w:rPr>
        <w:t xml:space="preserve"> a ainsi souligné que l’exigence du procès équitable implique « </w:t>
      </w:r>
      <w:r w:rsidRPr="00D00838">
        <w:rPr>
          <w:i/>
          <w:color w:val="4F81BD" w:themeColor="accent1"/>
        </w:rPr>
        <w:t>l’obligation d’offrir à chaque partie une possibilité raisonnable de présenter sa cause dans des conditions qui ne la placent pas dans une situation de net désavantage par rapport à son adversaire</w:t>
      </w:r>
      <w:r w:rsidRPr="00954F5A">
        <w:rPr>
          <w:color w:val="4F81BD" w:themeColor="accent1"/>
        </w:rPr>
        <w:t> ». Dans d’autres termes</w:t>
      </w:r>
      <w:r w:rsidR="00D00838">
        <w:rPr>
          <w:color w:val="4F81BD" w:themeColor="accent1"/>
        </w:rPr>
        <w:t>,</w:t>
      </w:r>
      <w:r w:rsidRPr="00954F5A">
        <w:rPr>
          <w:color w:val="4F81BD" w:themeColor="accent1"/>
        </w:rPr>
        <w:t xml:space="preserve"> ceci a été confirmé par de nombreux arrêts de la chambre sociale de la Cour de cassation tel que celui du 18 octobre 2001. </w:t>
      </w:r>
    </w:p>
    <w:p w14:paraId="6122D842" w14:textId="340EACD1" w:rsidR="00FF2F29" w:rsidRDefault="00954F5A" w:rsidP="00954F5A">
      <w:pPr>
        <w:jc w:val="both"/>
        <w:rPr>
          <w:color w:val="4F81BD" w:themeColor="accent1"/>
        </w:rPr>
      </w:pPr>
      <w:r w:rsidRPr="00954F5A">
        <w:rPr>
          <w:color w:val="4F81BD" w:themeColor="accent1"/>
        </w:rPr>
        <w:t>Ce silence de la loi s’explique par la délimitation stricte de la notion d’expertise dans le cadre d’une instruction judiciaire : lorsqu’une mesure en vue d’étayer ou d’apprécier un moyen à un litige est requise par le juge, celle-ci peut être soit prise ponctuellement (R143-28 du Code de procédure civile), soit de façon automatique à un type de litige (R143-27 du Code de procédure civile). Ici</w:t>
      </w:r>
      <w:r w:rsidR="00C36CA0">
        <w:rPr>
          <w:color w:val="4F81BD" w:themeColor="accent1"/>
        </w:rPr>
        <w:t>,</w:t>
      </w:r>
      <w:r w:rsidRPr="00954F5A">
        <w:rPr>
          <w:color w:val="4F81BD" w:themeColor="accent1"/>
        </w:rPr>
        <w:t xml:space="preserve"> l’expertise médicale</w:t>
      </w:r>
      <w:r w:rsidR="00C36CA0">
        <w:rPr>
          <w:color w:val="4F81BD" w:themeColor="accent1"/>
        </w:rPr>
        <w:t xml:space="preserve"> ne </w:t>
      </w:r>
      <w:r w:rsidRPr="00954F5A">
        <w:rPr>
          <w:color w:val="4F81BD" w:themeColor="accent1"/>
        </w:rPr>
        <w:t>relève p</w:t>
      </w:r>
      <w:r w:rsidR="00C36CA0">
        <w:rPr>
          <w:color w:val="4F81BD" w:themeColor="accent1"/>
        </w:rPr>
        <w:t>l</w:t>
      </w:r>
      <w:r w:rsidRPr="00954F5A">
        <w:rPr>
          <w:color w:val="4F81BD" w:themeColor="accent1"/>
        </w:rPr>
        <w:t>us de l’article R143-27 donc n’est pas une mesure d’instruction soumise aux règles du contradictoire et donc à la communication des mesures ordonnées par le juge aux parties à un litige. Cependant</w:t>
      </w:r>
      <w:r w:rsidR="00A4138C">
        <w:rPr>
          <w:color w:val="4F81BD" w:themeColor="accent1"/>
        </w:rPr>
        <w:t>,</w:t>
      </w:r>
      <w:r w:rsidRPr="00954F5A">
        <w:rPr>
          <w:color w:val="4F81BD" w:themeColor="accent1"/>
        </w:rPr>
        <w:t xml:space="preserve"> la CNITAT admettait que cette absence de communication s’expliquait plus par l’insuffisance des moyens accordés à son secrétariat qu’à des motifs juridiquement acceptables. De plus, elle avançait la possibilité pour l’employeur, partie potentielle au litige, de saisir le </w:t>
      </w:r>
      <w:r w:rsidR="00A41681">
        <w:rPr>
          <w:color w:val="4F81BD" w:themeColor="accent1"/>
        </w:rPr>
        <w:t>Tribunal des affaires de la Sécurité sociale</w:t>
      </w:r>
      <w:r w:rsidRPr="00954F5A">
        <w:rPr>
          <w:color w:val="4F81BD" w:themeColor="accent1"/>
        </w:rPr>
        <w:t xml:space="preserve"> par la procédure de référé pour obtenir l’avis ou le rapport d’expertise du médecin afin d’apprécier le bien-fondé de la décision d’évaluation des séquelles et de fixation des réparations, voire des chances de son succès lors d’une procédure contentieuse. </w:t>
      </w:r>
    </w:p>
    <w:p w14:paraId="04193DEB" w14:textId="10CF5703" w:rsidR="00954F5A" w:rsidRPr="00954F5A" w:rsidRDefault="00954F5A" w:rsidP="00954F5A">
      <w:pPr>
        <w:jc w:val="both"/>
        <w:rPr>
          <w:color w:val="4F81BD" w:themeColor="accent1"/>
        </w:rPr>
      </w:pPr>
      <w:r w:rsidRPr="00954F5A">
        <w:rPr>
          <w:color w:val="4F81BD" w:themeColor="accent1"/>
        </w:rPr>
        <w:t>Les difficultés de communication de cet avis ou rapport médical ont été restreintes par l’instruction ministérielle du 29 décembre 1994, sans que cela ne clôture le débat. Ainsi ce raisonnement a été maintenu jusqu’aux arrêts de l’Assemblée plénière de 19 décembre 2002 après de nombreuses approbations de ce fonctionnement comme par la chambre sociale de la Cour de cassation le 28 mai 1998 et par le silence du décret du 2 juin 1999. Pour la première fois, il est officiellement déclaré « </w:t>
      </w:r>
      <w:r w:rsidRPr="00956B1A">
        <w:rPr>
          <w:i/>
          <w:color w:val="4F81BD" w:themeColor="accent1"/>
        </w:rPr>
        <w:t>dépourvu de caractère contradictoire</w:t>
      </w:r>
      <w:r w:rsidRPr="00954F5A">
        <w:rPr>
          <w:color w:val="4F81BD" w:themeColor="accent1"/>
        </w:rPr>
        <w:t> » donc sans prendre en considération la distinction entre les articles R143-28 et R143-27 du Code de procédure civile. Dès lors les caisses peuvent être sanctionnées pour absence de justificatifs de l’envoi du double de déclaration de maladie professionnelle et des certificats médicaux l’attestant.</w:t>
      </w:r>
    </w:p>
    <w:p w14:paraId="5D622077" w14:textId="77777777" w:rsidR="007A6A64" w:rsidRDefault="007A6A64" w:rsidP="00557B10">
      <w:pPr>
        <w:jc w:val="both"/>
        <w:rPr>
          <w:color w:val="4F81BD" w:themeColor="accent1"/>
        </w:rPr>
      </w:pPr>
    </w:p>
    <w:p w14:paraId="0568F5EB" w14:textId="77777777" w:rsidR="00A86B7E" w:rsidRDefault="00954F5A" w:rsidP="00557B10">
      <w:pPr>
        <w:jc w:val="both"/>
        <w:rPr>
          <w:color w:val="4F81BD" w:themeColor="accent1"/>
        </w:rPr>
      </w:pPr>
      <w:r w:rsidRPr="00954F5A">
        <w:rPr>
          <w:color w:val="4F81BD" w:themeColor="accent1"/>
        </w:rPr>
        <w:t xml:space="preserve">Ensuite, le caractère contradictoire de la procédure doit suivre des règles et des moyens précis à la production des preuves. Le contentieux de la </w:t>
      </w:r>
      <w:r w:rsidR="004A6FC7">
        <w:rPr>
          <w:color w:val="4F81BD" w:themeColor="accent1"/>
        </w:rPr>
        <w:t>S</w:t>
      </w:r>
      <w:r w:rsidRPr="00954F5A">
        <w:rPr>
          <w:color w:val="4F81BD" w:themeColor="accent1"/>
        </w:rPr>
        <w:t>écurité sociale est alors nécessairement inégalitaire entre les parties : les caisses de Sécurité sociale, partie</w:t>
      </w:r>
      <w:r w:rsidR="00162A95">
        <w:rPr>
          <w:color w:val="4F81BD" w:themeColor="accent1"/>
        </w:rPr>
        <w:t>s</w:t>
      </w:r>
      <w:r w:rsidRPr="00954F5A">
        <w:rPr>
          <w:color w:val="4F81BD" w:themeColor="accent1"/>
        </w:rPr>
        <w:t xml:space="preserve"> au litige, dispose</w:t>
      </w:r>
      <w:r w:rsidR="00162A95">
        <w:rPr>
          <w:color w:val="4F81BD" w:themeColor="accent1"/>
        </w:rPr>
        <w:t>nt</w:t>
      </w:r>
      <w:r w:rsidRPr="00954F5A">
        <w:rPr>
          <w:color w:val="4F81BD" w:themeColor="accent1"/>
        </w:rPr>
        <w:t xml:space="preserve"> par définition de moyens administratifs et techniques plus larges que leurs adversaires, c’est-à-dire les assurés sociaux et les employeurs. Cette situation est la subsistance de l’ancienne organisation de ce type de contentieux, qui relevait de l’ordre administratif et donc, qui faisait primer l’intérêt général sur l’intérêt privé.  </w:t>
      </w:r>
    </w:p>
    <w:p w14:paraId="368374C9" w14:textId="06D8F1BD" w:rsidR="00A84F90" w:rsidRDefault="00954F5A" w:rsidP="00557B10">
      <w:pPr>
        <w:jc w:val="both"/>
        <w:rPr>
          <w:color w:val="4F81BD" w:themeColor="accent1"/>
        </w:rPr>
      </w:pPr>
      <w:r w:rsidRPr="00954F5A">
        <w:rPr>
          <w:color w:val="4F81BD" w:themeColor="accent1"/>
        </w:rPr>
        <w:t>De plus, il ne prévoit pas que l’employeur requérant puisse consulter les observations écrites du médecin que la CPAM envoie au TCI.  Cette question de l’administration de la preuve soulève une autre obligation : celle de communiquer sa pièce suffisamment tôt envers la tenue de l’audience, enfin que la partie adversaire puisse, si cela est possible, en discuter en pleine connaissance de cause. Enfin aucune obligation d’information des conséquences du refus de la famille à une autopsie n’est imposée à la caisse. Dès lors, leur refus entraîne l’inversement de la charge de la preuve du caractère professionnel de l’accident de travail ayant causé la mort mais surtout, leur fait perdre la présomption d’imputabilité ! Non seulement la famille perd une chance de succès à la reconnaissance judiciaire du caractère professionnel de l’accident mais aussi l’employeur qui n’a pas le droit de requérir une autopsie, ce dernier relevant du pouvoir exclusif des caisses de sécurité sociale. Ces effets sont dérogatoires au principe de l’administration de la preuve</w:t>
      </w:r>
      <w:r w:rsidR="00B07A9D">
        <w:rPr>
          <w:color w:val="4F81BD" w:themeColor="accent1"/>
        </w:rPr>
        <w:t xml:space="preserve"> : </w:t>
      </w:r>
      <w:r w:rsidRPr="00954F5A">
        <w:rPr>
          <w:color w:val="4F81BD" w:themeColor="accent1"/>
        </w:rPr>
        <w:t>c’est pourquoi il semble essentiel qu’une obligation d’information soit posée auprès des professionnels, c’est-à-dire les caisses.</w:t>
      </w:r>
      <w:r w:rsidR="000134B3">
        <w:rPr>
          <w:color w:val="4F81BD" w:themeColor="accent1"/>
        </w:rPr>
        <w:t xml:space="preserve"> </w:t>
      </w:r>
    </w:p>
    <w:p w14:paraId="50546E4A" w14:textId="77777777" w:rsidR="009E6BB8" w:rsidRDefault="009E6BB8" w:rsidP="00557B10">
      <w:pPr>
        <w:jc w:val="both"/>
        <w:rPr>
          <w:color w:val="4F81BD" w:themeColor="accent1"/>
        </w:rPr>
      </w:pPr>
    </w:p>
    <w:p w14:paraId="5217E320" w14:textId="1327D39F" w:rsidR="009E6BB8" w:rsidRDefault="009E6BB8" w:rsidP="00557B10">
      <w:pPr>
        <w:jc w:val="both"/>
      </w:pPr>
      <w:r w:rsidRPr="009E6BB8">
        <w:t>2/ Règles</w:t>
      </w:r>
      <w:r>
        <w:t xml:space="preserve"> de forme : le déroulement formalisé du procès (publicité des débats, délai raisonnable, décision rendue publiquement et motivation de la décision). </w:t>
      </w:r>
    </w:p>
    <w:p w14:paraId="7DB431B0" w14:textId="77777777" w:rsidR="00343FFD" w:rsidRDefault="00343FFD" w:rsidP="00557B10">
      <w:pPr>
        <w:jc w:val="both"/>
      </w:pPr>
    </w:p>
    <w:p w14:paraId="7E67B8DA" w14:textId="140D66D2" w:rsidR="00FD59FD" w:rsidRPr="00446848" w:rsidRDefault="00FD59FD" w:rsidP="00FD59FD">
      <w:pPr>
        <w:jc w:val="both"/>
        <w:rPr>
          <w:color w:val="4F81BD" w:themeColor="accent1"/>
        </w:rPr>
      </w:pPr>
      <w:r w:rsidRPr="00446848">
        <w:rPr>
          <w:color w:val="4F81BD" w:themeColor="accent1"/>
        </w:rPr>
        <w:t>Les règles de forme énoncées par l’article 6§1 sont nombreuses. « </w:t>
      </w:r>
      <w:r w:rsidRPr="00FB51B0">
        <w:rPr>
          <w:i/>
          <w:color w:val="4F81BD" w:themeColor="accent1"/>
        </w:rPr>
        <w:t>Toute personne a droit à ce que sa cause soit entendue</w:t>
      </w:r>
      <w:r w:rsidRPr="00446848">
        <w:rPr>
          <w:color w:val="4F81BD" w:themeColor="accent1"/>
        </w:rPr>
        <w:t xml:space="preserve"> </w:t>
      </w:r>
      <w:r w:rsidR="00FB51B0">
        <w:rPr>
          <w:color w:val="4F81BD" w:themeColor="accent1"/>
        </w:rPr>
        <w:t>(…)</w:t>
      </w:r>
      <w:r w:rsidRPr="00446848">
        <w:rPr>
          <w:color w:val="4F81BD" w:themeColor="accent1"/>
        </w:rPr>
        <w:t xml:space="preserve"> </w:t>
      </w:r>
      <w:r w:rsidRPr="00FB51B0">
        <w:rPr>
          <w:i/>
          <w:color w:val="4F81BD" w:themeColor="accent1"/>
        </w:rPr>
        <w:t>publiquement et dans un délai raisonnable</w:t>
      </w:r>
      <w:r w:rsidR="00FB51B0">
        <w:rPr>
          <w:color w:val="4F81BD" w:themeColor="accent1"/>
        </w:rPr>
        <w:t xml:space="preserve"> (…)</w:t>
      </w:r>
      <w:r w:rsidRPr="00446848">
        <w:rPr>
          <w:color w:val="4F81BD" w:themeColor="accent1"/>
        </w:rPr>
        <w:t xml:space="preserve">. </w:t>
      </w:r>
      <w:r w:rsidRPr="00FB51B0">
        <w:rPr>
          <w:i/>
          <w:color w:val="4F81BD" w:themeColor="accent1"/>
        </w:rPr>
        <w:t>Le jugement doit être rendu publiquement</w:t>
      </w:r>
      <w:r w:rsidRPr="00446848">
        <w:rPr>
          <w:color w:val="4F81BD" w:themeColor="accent1"/>
        </w:rPr>
        <w:t xml:space="preserve">. » La publicité de l’audition de la cause et du jugement ainsi que l’obligation de respecter un délai raisonnable de jugement ont été complétées par le principe de la motivation des décisions rendues. La question des délais raisonnables, encore subsistante, sera traitée par la suite. </w:t>
      </w:r>
    </w:p>
    <w:p w14:paraId="52D55A3A" w14:textId="77777777" w:rsidR="00446848" w:rsidRPr="00446848" w:rsidRDefault="00446848" w:rsidP="00FD59FD">
      <w:pPr>
        <w:jc w:val="both"/>
        <w:rPr>
          <w:color w:val="4F81BD" w:themeColor="accent1"/>
        </w:rPr>
      </w:pPr>
    </w:p>
    <w:p w14:paraId="6C2B6E6A" w14:textId="5AF476F5" w:rsidR="00FD59FD" w:rsidRPr="00446848" w:rsidRDefault="00FD59FD" w:rsidP="00FD59FD">
      <w:pPr>
        <w:jc w:val="both"/>
        <w:rPr>
          <w:rStyle w:val="txtnote"/>
          <w:color w:val="4F81BD" w:themeColor="accent1"/>
        </w:rPr>
      </w:pPr>
      <w:r w:rsidRPr="00446848">
        <w:rPr>
          <w:color w:val="4F81BD" w:themeColor="accent1"/>
        </w:rPr>
        <w:t>D’une part, l’obligation de rendre la cause et le jugement lors d’une audience publique était notamment bafouée durant les procès devant la CNITAT. En effet</w:t>
      </w:r>
      <w:r w:rsidR="00126149">
        <w:rPr>
          <w:color w:val="4F81BD" w:themeColor="accent1"/>
        </w:rPr>
        <w:t>,</w:t>
      </w:r>
      <w:r w:rsidRPr="00446848">
        <w:rPr>
          <w:color w:val="4F81BD" w:themeColor="accent1"/>
        </w:rPr>
        <w:t xml:space="preserve"> l’audience publique n’était constituée que de la lecture de la décision et non de son contenu, cette audience étant l’intégralité du procès pour les parties ! Cette audience dite de jugement avait une portée d’autant plus limitée que les parties étaient rarement informées de la date de son déroulement… En effet</w:t>
      </w:r>
      <w:r w:rsidR="00126149">
        <w:rPr>
          <w:color w:val="4F81BD" w:themeColor="accent1"/>
        </w:rPr>
        <w:t>,</w:t>
      </w:r>
      <w:r w:rsidRPr="00446848">
        <w:rPr>
          <w:color w:val="4F81BD" w:themeColor="accent1"/>
        </w:rPr>
        <w:t xml:space="preserve"> le contenu se base sur des pièces non communiquées aux parties, comme le rapport de l’expert médical, celui-ci n’étant connu des parties que dans son avis conclusif et lors de la lecture de l’arrêt. Ainsi</w:t>
      </w:r>
      <w:r w:rsidR="0070704D">
        <w:rPr>
          <w:color w:val="4F81BD" w:themeColor="accent1"/>
        </w:rPr>
        <w:t>,</w:t>
      </w:r>
      <w:r w:rsidRPr="00446848">
        <w:rPr>
          <w:color w:val="4F81BD" w:themeColor="accent1"/>
        </w:rPr>
        <w:t xml:space="preserve"> les juges décidaient hors la présence des parties sur des pièces qui ne leur étaient pas communiquées. En réalité, bien que la publicité des débats soit un principe du procès équitable, celui-ci est limité envers les tiers en vue de protéger un autre grand principe de la Convention européenne </w:t>
      </w:r>
      <w:r w:rsidR="007825BA">
        <w:rPr>
          <w:color w:val="4F81BD" w:themeColor="accent1"/>
        </w:rPr>
        <w:t xml:space="preserve">de sauvegarde </w:t>
      </w:r>
      <w:r w:rsidRPr="00446848">
        <w:rPr>
          <w:color w:val="4F81BD" w:themeColor="accent1"/>
        </w:rPr>
        <w:t>des droits de l’Homme (mais aussi du droit interne)</w:t>
      </w:r>
      <w:r w:rsidR="007825BA">
        <w:rPr>
          <w:color w:val="4F81BD" w:themeColor="accent1"/>
        </w:rPr>
        <w:t> :</w:t>
      </w:r>
      <w:r w:rsidRPr="00446848">
        <w:rPr>
          <w:color w:val="4F81BD" w:themeColor="accent1"/>
        </w:rPr>
        <w:t xml:space="preserve"> la vie privée. Or</w:t>
      </w:r>
      <w:r w:rsidR="00AF1E3E">
        <w:rPr>
          <w:color w:val="4F81BD" w:themeColor="accent1"/>
        </w:rPr>
        <w:t>,</w:t>
      </w:r>
      <w:r w:rsidRPr="00446848">
        <w:rPr>
          <w:color w:val="4F81BD" w:themeColor="accent1"/>
        </w:rPr>
        <w:t xml:space="preserve"> ici</w:t>
      </w:r>
      <w:r w:rsidR="00AF1E3E">
        <w:rPr>
          <w:color w:val="4F81BD" w:themeColor="accent1"/>
        </w:rPr>
        <w:t>,</w:t>
      </w:r>
      <w:r w:rsidRPr="00446848">
        <w:rPr>
          <w:color w:val="4F81BD" w:themeColor="accent1"/>
        </w:rPr>
        <w:t xml:space="preserve"> l’audience au sens de la prise et de l’annonce de la décision, touchant incontestablement par son aspect médical à la vie privée, écartait en grande partie les parties concernées et non seulement les tiers ! Néanmoins, la question de la publicité des débats est partiellement comblée devant la Cour de cassation</w:t>
      </w:r>
      <w:r w:rsidR="00C9262E">
        <w:rPr>
          <w:color w:val="4F81BD" w:themeColor="accent1"/>
        </w:rPr>
        <w:t>,</w:t>
      </w:r>
      <w:r w:rsidRPr="00446848">
        <w:rPr>
          <w:color w:val="4F81BD" w:themeColor="accent1"/>
        </w:rPr>
        <w:t xml:space="preserve"> qui a érigé ce principe comme une règle classique de son fonctionnement, bien qu’il </w:t>
      </w:r>
      <w:r w:rsidR="00C9262E">
        <w:rPr>
          <w:color w:val="4F81BD" w:themeColor="accent1"/>
        </w:rPr>
        <w:t>est n</w:t>
      </w:r>
      <w:r w:rsidRPr="00446848">
        <w:rPr>
          <w:color w:val="4F81BD" w:themeColor="accent1"/>
        </w:rPr>
        <w:t>otable qu’elle se limite à juger le droit et non plus les faits... Un arrêt de la Cour européenne des droits de l’Homme admet un aménagement de la publicité des débats, outre l’exception de la vie privée : le 21 février 1990</w:t>
      </w:r>
      <w:r w:rsidRPr="00446848">
        <w:rPr>
          <w:rStyle w:val="txtnote"/>
          <w:color w:val="4F81BD" w:themeColor="accent1"/>
        </w:rPr>
        <w:t xml:space="preserve">, dans l’affaire </w:t>
      </w:r>
      <w:r w:rsidRPr="00B936B1">
        <w:rPr>
          <w:rStyle w:val="txtnote"/>
          <w:color w:val="4F81BD" w:themeColor="accent1"/>
          <w:u w:val="single"/>
        </w:rPr>
        <w:t>Hakansson et Sturessouc c/ Suède</w:t>
      </w:r>
      <w:r w:rsidRPr="00446848">
        <w:rPr>
          <w:rStyle w:val="txtnote"/>
          <w:color w:val="4F81BD" w:themeColor="accent1"/>
        </w:rPr>
        <w:t>, elle admet qu’un requérant renonce à ce droit et ce, de façon non équivoque.</w:t>
      </w:r>
      <w:r w:rsidR="00B936B1">
        <w:rPr>
          <w:rStyle w:val="txtnote"/>
          <w:color w:val="4F81BD" w:themeColor="accent1"/>
        </w:rPr>
        <w:t xml:space="preserve"> </w:t>
      </w:r>
    </w:p>
    <w:p w14:paraId="5937D603" w14:textId="77777777" w:rsidR="00FD59FD" w:rsidRPr="00446848" w:rsidRDefault="00FD59FD" w:rsidP="00FD59FD">
      <w:pPr>
        <w:jc w:val="both"/>
        <w:rPr>
          <w:color w:val="4F81BD" w:themeColor="accent1"/>
        </w:rPr>
      </w:pPr>
    </w:p>
    <w:p w14:paraId="4E1A1485" w14:textId="77777777" w:rsidR="00FD59FD" w:rsidRPr="00446848" w:rsidRDefault="00FD59FD" w:rsidP="00FD59FD">
      <w:pPr>
        <w:jc w:val="both"/>
        <w:rPr>
          <w:color w:val="4F81BD" w:themeColor="accent1"/>
        </w:rPr>
      </w:pPr>
      <w:r w:rsidRPr="00446848">
        <w:rPr>
          <w:color w:val="4F81BD" w:themeColor="accent1"/>
        </w:rPr>
        <w:t xml:space="preserve">D’autre part, les décisions rendues doivent être suffisamment motivées. Cette obligation de motivation a deux pendants : l’appréciation par le juge des preuves recueillies et la justification de sa décision. </w:t>
      </w:r>
    </w:p>
    <w:p w14:paraId="59920D94" w14:textId="732A785C" w:rsidR="00FD59FD" w:rsidRPr="00446848" w:rsidRDefault="00FD59FD" w:rsidP="00FD59FD">
      <w:pPr>
        <w:jc w:val="both"/>
        <w:rPr>
          <w:color w:val="4F81BD" w:themeColor="accent1"/>
        </w:rPr>
      </w:pPr>
      <w:r w:rsidRPr="00446848">
        <w:rPr>
          <w:color w:val="4F81BD" w:themeColor="accent1"/>
        </w:rPr>
        <w:t>Tout d’abord</w:t>
      </w:r>
      <w:r w:rsidR="0044191C">
        <w:rPr>
          <w:color w:val="4F81BD" w:themeColor="accent1"/>
        </w:rPr>
        <w:t>,</w:t>
      </w:r>
      <w:r w:rsidRPr="00446848">
        <w:rPr>
          <w:color w:val="4F81BD" w:themeColor="accent1"/>
        </w:rPr>
        <w:t xml:space="preserve"> l’appréciation par le juge des preuves recueillies est discrétionnaire</w:t>
      </w:r>
      <w:r w:rsidR="0044191C">
        <w:rPr>
          <w:color w:val="4F81BD" w:themeColor="accent1"/>
        </w:rPr>
        <w:t>,</w:t>
      </w:r>
      <w:r w:rsidRPr="00446848">
        <w:rPr>
          <w:color w:val="4F81BD" w:themeColor="accent1"/>
        </w:rPr>
        <w:t xml:space="preserve"> c’est-à-dire propre à chaque juge. Cependant</w:t>
      </w:r>
      <w:r w:rsidR="00BC2D46">
        <w:rPr>
          <w:color w:val="4F81BD" w:themeColor="accent1"/>
        </w:rPr>
        <w:t>,</w:t>
      </w:r>
      <w:r w:rsidRPr="00446848">
        <w:rPr>
          <w:color w:val="4F81BD" w:themeColor="accent1"/>
        </w:rPr>
        <w:t xml:space="preserve"> le 23 juin 1993, la Cour européenne des droits de l’Homme (affaire </w:t>
      </w:r>
      <w:r w:rsidRPr="008135BA">
        <w:rPr>
          <w:color w:val="4F81BD" w:themeColor="accent1"/>
          <w:u w:val="single"/>
        </w:rPr>
        <w:t>Ruiz-Mateos</w:t>
      </w:r>
      <w:r w:rsidRPr="00446848">
        <w:rPr>
          <w:color w:val="4F81BD" w:themeColor="accent1"/>
        </w:rPr>
        <w:t>) a imposé que l’examen de la procédure dans son ensemble et donc en ce qui concerne le mode de présentation des preuves revêtent un caractère équitable au sens de l’article 6</w:t>
      </w:r>
      <w:r w:rsidR="00A04BE9">
        <w:rPr>
          <w:color w:val="4F81BD" w:themeColor="accent1"/>
        </w:rPr>
        <w:t xml:space="preserve"> </w:t>
      </w:r>
      <w:r w:rsidRPr="00446848">
        <w:rPr>
          <w:color w:val="4F81BD" w:themeColor="accent1"/>
        </w:rPr>
        <w:t xml:space="preserve">§1. Au-delà de l’impartialité et de l’indépendance des juges, le contentieux de la </w:t>
      </w:r>
      <w:r w:rsidR="00A04BE9">
        <w:rPr>
          <w:color w:val="4F81BD" w:themeColor="accent1"/>
        </w:rPr>
        <w:t>S</w:t>
      </w:r>
      <w:r w:rsidRPr="00446848">
        <w:rPr>
          <w:color w:val="4F81BD" w:themeColor="accent1"/>
        </w:rPr>
        <w:t>écurité sociale pourrait y être non conforme du fait de la présomption d’imputabilité de l’accident ou de la lésion à l’employeur, c’est-à-dire de son caractère professionnel. En effet cette présomption répond de deux uniques conditions : l’accident ou la lésion doivent être apparus au temps et au lieu du travail. La preuve de l’ancienneté de la lésion ou d’une faute inexcusable du salarié étant quasiment impossible à rapporter, cette présomption ne vaut réellement que dans les rapports entre la victime et la caisse. Lorsque le litige oppose la caisse à l’employeur, ce dernier est en effet en droit de demander à la caisse de justifier sa demande, comme un simple débiteur contestant auprès de son créancier l’un des éléments constitutifs de sa dette. Ce n’est que dans cette configuration où l’égalité des parties semble être bafouée, cette question n’ayant jamais été définitivement résolue par un tribunal en cette même formulation</w:t>
      </w:r>
      <w:r w:rsidR="00EA0F2C">
        <w:rPr>
          <w:color w:val="4F81BD" w:themeColor="accent1"/>
        </w:rPr>
        <w:t xml:space="preserve">. </w:t>
      </w:r>
    </w:p>
    <w:p w14:paraId="5DF337BD" w14:textId="77777777" w:rsidR="00446848" w:rsidRPr="00446848" w:rsidRDefault="00446848" w:rsidP="00FD59FD">
      <w:pPr>
        <w:jc w:val="both"/>
        <w:rPr>
          <w:color w:val="4F81BD" w:themeColor="accent1"/>
        </w:rPr>
      </w:pPr>
    </w:p>
    <w:p w14:paraId="04E33A55" w14:textId="387C812D" w:rsidR="00343FFD" w:rsidRDefault="00FD59FD" w:rsidP="00557B10">
      <w:pPr>
        <w:jc w:val="both"/>
        <w:rPr>
          <w:color w:val="4F81BD" w:themeColor="accent1"/>
        </w:rPr>
      </w:pPr>
      <w:r w:rsidRPr="00446848">
        <w:rPr>
          <w:color w:val="4F81BD" w:themeColor="accent1"/>
        </w:rPr>
        <w:t>Ensuite</w:t>
      </w:r>
      <w:r w:rsidR="00E715CB">
        <w:rPr>
          <w:color w:val="4F81BD" w:themeColor="accent1"/>
        </w:rPr>
        <w:t>,</w:t>
      </w:r>
      <w:r w:rsidRPr="00446848">
        <w:rPr>
          <w:color w:val="4F81BD" w:themeColor="accent1"/>
        </w:rPr>
        <w:t xml:space="preserve"> la décision doit être justifiée</w:t>
      </w:r>
      <w:r w:rsidR="007E6707">
        <w:rPr>
          <w:color w:val="4F81BD" w:themeColor="accent1"/>
        </w:rPr>
        <w:t>,</w:t>
      </w:r>
      <w:r w:rsidRPr="00446848">
        <w:rPr>
          <w:color w:val="4F81BD" w:themeColor="accent1"/>
        </w:rPr>
        <w:t xml:space="preserve"> c’est-à-dire que le juge doit la motiver. Cette exigence est posée par l’article 6</w:t>
      </w:r>
      <w:r w:rsidR="00481E2F">
        <w:rPr>
          <w:color w:val="4F81BD" w:themeColor="accent1"/>
        </w:rPr>
        <w:t xml:space="preserve"> </w:t>
      </w:r>
      <w:r w:rsidRPr="00446848">
        <w:rPr>
          <w:color w:val="4F81BD" w:themeColor="accent1"/>
        </w:rPr>
        <w:t>§1 de la Convention européenne des droits de l’Homme mais aussi par le droit interne. En effet</w:t>
      </w:r>
      <w:r w:rsidR="00481E2F">
        <w:rPr>
          <w:color w:val="4F81BD" w:themeColor="accent1"/>
        </w:rPr>
        <w:t>,</w:t>
      </w:r>
      <w:r w:rsidRPr="00446848">
        <w:rPr>
          <w:color w:val="4F81BD" w:themeColor="accent1"/>
        </w:rPr>
        <w:t xml:space="preserve"> toute décision ayant une motivation insuffisante ou inexistante doit être censurée par les hautes cours, donc la Cour de cassation et le Conseil d’Etat. Néanmoins</w:t>
      </w:r>
      <w:r w:rsidR="00F376D3">
        <w:rPr>
          <w:color w:val="4F81BD" w:themeColor="accent1"/>
        </w:rPr>
        <w:t>,</w:t>
      </w:r>
      <w:r w:rsidRPr="00446848">
        <w:rPr>
          <w:color w:val="4F81BD" w:themeColor="accent1"/>
        </w:rPr>
        <w:t xml:space="preserve"> il est notable que la Cour de cassation est moins sévère dans le cadre des contentieux de pur droit des TCI et de la CNITAT puisque le fond du précédent jugement se base sur des expertises médicales, non susceptibles de réelle</w:t>
      </w:r>
      <w:r w:rsidR="00856A61">
        <w:rPr>
          <w:color w:val="4F81BD" w:themeColor="accent1"/>
        </w:rPr>
        <w:t>s</w:t>
      </w:r>
      <w:r w:rsidRPr="00446848">
        <w:rPr>
          <w:color w:val="4F81BD" w:themeColor="accent1"/>
        </w:rPr>
        <w:t xml:space="preserve"> contestation</w:t>
      </w:r>
      <w:r w:rsidR="00856A61">
        <w:rPr>
          <w:color w:val="4F81BD" w:themeColor="accent1"/>
        </w:rPr>
        <w:t>s</w:t>
      </w:r>
      <w:r w:rsidRPr="00446848">
        <w:rPr>
          <w:color w:val="4F81BD" w:themeColor="accent1"/>
        </w:rPr>
        <w:t xml:space="preserve"> par un juriste… Concrètement, l’exigence de motivation s’analyse « </w:t>
      </w:r>
      <w:r w:rsidRPr="00A456EB">
        <w:rPr>
          <w:i/>
          <w:color w:val="4F81BD" w:themeColor="accent1"/>
        </w:rPr>
        <w:t>à la lumière des circonstances de l’espèce </w:t>
      </w:r>
      <w:r w:rsidRPr="00446848">
        <w:rPr>
          <w:color w:val="4F81BD" w:themeColor="accent1"/>
        </w:rPr>
        <w:t xml:space="preserve">» (CEDH, 19 avril 1994, </w:t>
      </w:r>
      <w:r w:rsidRPr="00A456EB">
        <w:rPr>
          <w:color w:val="4F81BD" w:themeColor="accent1"/>
          <w:u w:val="single"/>
        </w:rPr>
        <w:t>Van de Hurk c</w:t>
      </w:r>
      <w:r w:rsidR="00A456EB">
        <w:rPr>
          <w:color w:val="4F81BD" w:themeColor="accent1"/>
          <w:u w:val="single"/>
        </w:rPr>
        <w:t>/</w:t>
      </w:r>
      <w:r w:rsidRPr="00A456EB">
        <w:rPr>
          <w:color w:val="4F81BD" w:themeColor="accent1"/>
          <w:u w:val="single"/>
        </w:rPr>
        <w:t xml:space="preserve"> Pays-Bas</w:t>
      </w:r>
      <w:r w:rsidRPr="00446848">
        <w:rPr>
          <w:color w:val="4F81BD" w:themeColor="accent1"/>
        </w:rPr>
        <w:t>) mais aussi globalement, sans être trop sommaire ou générale sur un moyen de défense qui apparaît décisif pour l’issue du litige. Ceci est particulièrement bafoué envers l’employeur, puisque la caisse ne lui notifie</w:t>
      </w:r>
      <w:r w:rsidR="00224922">
        <w:rPr>
          <w:color w:val="4F81BD" w:themeColor="accent1"/>
        </w:rPr>
        <w:t xml:space="preserve"> que</w:t>
      </w:r>
      <w:r w:rsidRPr="00446848">
        <w:rPr>
          <w:color w:val="4F81BD" w:themeColor="accent1"/>
        </w:rPr>
        <w:t xml:space="preserve"> des décisions administratives bien floues… Or</w:t>
      </w:r>
      <w:r w:rsidR="00A34FD4">
        <w:rPr>
          <w:color w:val="4F81BD" w:themeColor="accent1"/>
        </w:rPr>
        <w:t>,</w:t>
      </w:r>
      <w:r w:rsidRPr="00446848">
        <w:rPr>
          <w:color w:val="4F81BD" w:themeColor="accent1"/>
        </w:rPr>
        <w:t xml:space="preserve"> cette exigence vise à orienter les parties dans leurs moyens de défense à présenter lors d’un recours, étape bien complexe lorsque les points susceptibles de leur faire grief sont ignorés par eux-mêmes…</w:t>
      </w:r>
    </w:p>
    <w:p w14:paraId="66760FC0" w14:textId="77777777" w:rsidR="00E73D75" w:rsidRDefault="00E73D75" w:rsidP="00557B10">
      <w:pPr>
        <w:jc w:val="both"/>
        <w:rPr>
          <w:color w:val="4F81BD" w:themeColor="accent1"/>
        </w:rPr>
      </w:pPr>
    </w:p>
    <w:p w14:paraId="62E4564D" w14:textId="77777777" w:rsidR="00E73D75" w:rsidRDefault="00E73D75" w:rsidP="00557B10">
      <w:pPr>
        <w:jc w:val="both"/>
        <w:rPr>
          <w:color w:val="4F81BD" w:themeColor="accent1"/>
        </w:rPr>
      </w:pPr>
    </w:p>
    <w:p w14:paraId="6CCFAB2D" w14:textId="77777777" w:rsidR="00E73D75" w:rsidRDefault="00E73D75" w:rsidP="00557B10">
      <w:pPr>
        <w:jc w:val="both"/>
        <w:rPr>
          <w:color w:val="4F81BD" w:themeColor="accent1"/>
        </w:rPr>
      </w:pPr>
    </w:p>
    <w:p w14:paraId="73F178E7" w14:textId="77777777" w:rsidR="00E73D75" w:rsidRPr="00E73D75" w:rsidRDefault="00E73D75" w:rsidP="00E73D75">
      <w:pPr>
        <w:jc w:val="both"/>
        <w:rPr>
          <w:color w:val="4F81BD" w:themeColor="accent1"/>
        </w:rPr>
      </w:pPr>
      <w:r w:rsidRPr="00E73D75">
        <w:rPr>
          <w:color w:val="4F81BD" w:themeColor="accent1"/>
        </w:rPr>
        <w:t>Bien que l’arrêt de l’Assemblée plénière du 22 décembre 2000 ne soit pas le seul à condamner le fonctionnement et la composition de la CNITAT, il fut l’une des bases incontestables à l’impulsion et à la mise en œuvre de la réforme de 2002.</w:t>
      </w:r>
    </w:p>
    <w:p w14:paraId="4DAA8B87" w14:textId="2398B793" w:rsidR="0096274D" w:rsidRDefault="0096274D" w:rsidP="003603F7">
      <w:pPr>
        <w:pStyle w:val="Titre1"/>
      </w:pPr>
      <w:r>
        <w:t xml:space="preserve">II/ Les apports imparfaits de la réforme de 2002. </w:t>
      </w:r>
    </w:p>
    <w:p w14:paraId="10F5EA6A" w14:textId="77777777" w:rsidR="005A692C" w:rsidRDefault="005A692C" w:rsidP="005A692C"/>
    <w:p w14:paraId="452E942A" w14:textId="2DC0ED46" w:rsidR="005A692C" w:rsidRPr="005A692C" w:rsidRDefault="005A692C" w:rsidP="005A692C">
      <w:pPr>
        <w:rPr>
          <w:color w:val="4F81BD" w:themeColor="accent1"/>
        </w:rPr>
      </w:pPr>
      <w:r w:rsidRPr="005A692C">
        <w:rPr>
          <w:color w:val="4F81BD" w:themeColor="accent1"/>
        </w:rPr>
        <w:t>Les réformes</w:t>
      </w:r>
      <w:r>
        <w:rPr>
          <w:color w:val="4F81BD" w:themeColor="accent1"/>
        </w:rPr>
        <w:t xml:space="preserve"> de 2002 ont conduit à améliorer significativement la situation du contentieux dit te</w:t>
      </w:r>
      <w:r w:rsidR="00227EF0">
        <w:rPr>
          <w:color w:val="4F81BD" w:themeColor="accent1"/>
        </w:rPr>
        <w:t xml:space="preserve">chnique de la Sécurité sociale (A). Néanmoins, </w:t>
      </w:r>
      <w:r w:rsidR="009A70FF">
        <w:rPr>
          <w:color w:val="4F81BD" w:themeColor="accent1"/>
        </w:rPr>
        <w:t>persistent quelques</w:t>
      </w:r>
      <w:r w:rsidR="00BA248F">
        <w:rPr>
          <w:color w:val="4F81BD" w:themeColor="accent1"/>
        </w:rPr>
        <w:t xml:space="preserve"> violations subsistantes de l’article 6 §1 de la Convention européenne de sauvegarde des droits de l’Homme</w:t>
      </w:r>
      <w:r w:rsidR="00A642FE">
        <w:rPr>
          <w:color w:val="4F81BD" w:themeColor="accent1"/>
        </w:rPr>
        <w:t xml:space="preserve"> qui viennent tempérer</w:t>
      </w:r>
      <w:r w:rsidR="00C86414">
        <w:rPr>
          <w:color w:val="4F81BD" w:themeColor="accent1"/>
        </w:rPr>
        <w:t xml:space="preserve"> les apports des réformes (B). </w:t>
      </w:r>
      <w:bookmarkStart w:id="0" w:name="_GoBack"/>
      <w:bookmarkEnd w:id="0"/>
    </w:p>
    <w:p w14:paraId="4FA4360C" w14:textId="2C17AEC6" w:rsidR="00841752" w:rsidRDefault="0038176A" w:rsidP="003603F7">
      <w:pPr>
        <w:pStyle w:val="Titre2"/>
      </w:pPr>
      <w:r>
        <w:t>A/ Les apports de la réforme</w:t>
      </w:r>
      <w:r w:rsidR="003603F7">
        <w:t xml:space="preserve"> du contentieux dit technique de la Sécurité sociale. </w:t>
      </w:r>
    </w:p>
    <w:p w14:paraId="34C74D7B" w14:textId="77777777" w:rsidR="003603F7" w:rsidRDefault="003603F7" w:rsidP="003603F7"/>
    <w:p w14:paraId="01985FA8" w14:textId="77777777" w:rsidR="00140719" w:rsidRDefault="002D5B1B" w:rsidP="002D5B1B">
      <w:pPr>
        <w:widowControl w:val="0"/>
        <w:tabs>
          <w:tab w:val="left" w:pos="1125"/>
        </w:tabs>
        <w:autoSpaceDE w:val="0"/>
        <w:autoSpaceDN w:val="0"/>
        <w:adjustRightInd w:val="0"/>
        <w:jc w:val="both"/>
        <w:rPr>
          <w:rFonts w:ascii="Cambria" w:hAnsi="Cambria" w:cs="Times New Roman"/>
          <w:color w:val="4F81BD" w:themeColor="accent1"/>
        </w:rPr>
      </w:pPr>
      <w:r w:rsidRPr="002D5B1B">
        <w:rPr>
          <w:rFonts w:ascii="Cambria" w:hAnsi="Cambria" w:cs="Times New Roman"/>
          <w:color w:val="4F81BD" w:themeColor="accent1"/>
        </w:rPr>
        <w:t>A la suite de l'arrêt du 22 décembre 2000 rendu par l'Assemblée plénière de la Cour de cassation</w:t>
      </w:r>
      <w:r>
        <w:rPr>
          <w:rFonts w:ascii="Cambria" w:hAnsi="Cambria" w:cs="Times New Roman"/>
          <w:color w:val="4F81BD" w:themeColor="accent1"/>
        </w:rPr>
        <w:t>,</w:t>
      </w:r>
      <w:r w:rsidRPr="002D5B1B">
        <w:rPr>
          <w:rFonts w:ascii="Cambria" w:hAnsi="Cambria" w:cs="Times New Roman"/>
          <w:color w:val="4F81BD" w:themeColor="accent1"/>
        </w:rPr>
        <w:t xml:space="preserve"> le législateur est intervenu pour modifier l'organisation et le fonctionnement des juridictions chargées du contentieux technique de la Sécurité sociale. </w:t>
      </w:r>
    </w:p>
    <w:p w14:paraId="6445790D" w14:textId="487994C6" w:rsidR="002D5B1B" w:rsidRPr="002D5B1B" w:rsidRDefault="002D5B1B" w:rsidP="002D5B1B">
      <w:pPr>
        <w:widowControl w:val="0"/>
        <w:tabs>
          <w:tab w:val="left" w:pos="1125"/>
        </w:tabs>
        <w:autoSpaceDE w:val="0"/>
        <w:autoSpaceDN w:val="0"/>
        <w:adjustRightInd w:val="0"/>
        <w:jc w:val="both"/>
        <w:rPr>
          <w:rFonts w:ascii="Cambria" w:hAnsi="Cambria" w:cs="Times New Roman"/>
          <w:color w:val="4F81BD" w:themeColor="accent1"/>
        </w:rPr>
      </w:pPr>
      <w:r w:rsidRPr="002D5B1B">
        <w:rPr>
          <w:rFonts w:ascii="Cambria" w:hAnsi="Cambria" w:cs="Times New Roman"/>
          <w:color w:val="4F81BD" w:themeColor="accent1"/>
        </w:rPr>
        <w:t>Cette intervention était nécessaire pour deux raisons. La première est que le droit français était largement en contradiction avec les exigences de l'article 6</w:t>
      </w:r>
      <w:r w:rsidR="00D8645C">
        <w:rPr>
          <w:rFonts w:ascii="Cambria" w:hAnsi="Cambria" w:cs="Times New Roman"/>
          <w:color w:val="4F81BD" w:themeColor="accent1"/>
        </w:rPr>
        <w:t xml:space="preserve"> </w:t>
      </w:r>
      <w:r w:rsidRPr="002D5B1B">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Pr="002D5B1B">
        <w:rPr>
          <w:rFonts w:ascii="Cambria" w:hAnsi="Cambria" w:cs="Times New Roman"/>
          <w:color w:val="4F81BD" w:themeColor="accent1"/>
        </w:rPr>
        <w:t xml:space="preserve"> et qu'à tout moment la France aurait pu </w:t>
      </w:r>
      <w:r w:rsidR="00D8645C">
        <w:rPr>
          <w:rFonts w:ascii="Cambria" w:hAnsi="Cambria" w:cs="Times New Roman"/>
          <w:color w:val="4F81BD" w:themeColor="accent1"/>
        </w:rPr>
        <w:t>être condamnée</w:t>
      </w:r>
      <w:r w:rsidRPr="002D5B1B">
        <w:rPr>
          <w:rFonts w:ascii="Cambria" w:hAnsi="Cambria" w:cs="Times New Roman"/>
          <w:color w:val="4F81BD" w:themeColor="accent1"/>
        </w:rPr>
        <w:t>. La deuxième est que cet arrêt a provoqué une paralysie du contentieux de la Sécurité social</w:t>
      </w:r>
      <w:r w:rsidR="00B419EF">
        <w:rPr>
          <w:rFonts w:ascii="Cambria" w:hAnsi="Cambria" w:cs="Times New Roman"/>
          <w:color w:val="4F81BD" w:themeColor="accent1"/>
        </w:rPr>
        <w:t>e,</w:t>
      </w:r>
      <w:r w:rsidRPr="002D5B1B">
        <w:rPr>
          <w:rFonts w:ascii="Cambria" w:hAnsi="Cambria" w:cs="Times New Roman"/>
          <w:color w:val="4F81BD" w:themeColor="accent1"/>
        </w:rPr>
        <w:t xml:space="preserve"> l</w:t>
      </w:r>
      <w:r w:rsidR="00B419EF">
        <w:rPr>
          <w:rFonts w:ascii="Cambria" w:hAnsi="Cambria" w:cs="Times New Roman"/>
          <w:color w:val="4F81BD" w:themeColor="accent1"/>
        </w:rPr>
        <w:t>a</w:t>
      </w:r>
      <w:r w:rsidRPr="002D5B1B">
        <w:rPr>
          <w:rFonts w:ascii="Cambria" w:hAnsi="Cambria" w:cs="Times New Roman"/>
          <w:color w:val="4F81BD" w:themeColor="accent1"/>
        </w:rPr>
        <w:t xml:space="preserve"> CNITAT ne pouvant plus rendre de jugements tant que </w:t>
      </w:r>
      <w:r w:rsidR="00B419EF">
        <w:rPr>
          <w:rFonts w:ascii="Cambria" w:hAnsi="Cambria" w:cs="Times New Roman"/>
          <w:color w:val="4F81BD" w:themeColor="accent1"/>
        </w:rPr>
        <w:t>son</w:t>
      </w:r>
      <w:r w:rsidRPr="002D5B1B">
        <w:rPr>
          <w:rFonts w:ascii="Cambria" w:hAnsi="Cambria" w:cs="Times New Roman"/>
          <w:color w:val="4F81BD" w:themeColor="accent1"/>
        </w:rPr>
        <w:t xml:space="preserve"> fonctionnement et que </w:t>
      </w:r>
      <w:r w:rsidR="00B419EF">
        <w:rPr>
          <w:rFonts w:ascii="Cambria" w:hAnsi="Cambria" w:cs="Times New Roman"/>
          <w:color w:val="4F81BD" w:themeColor="accent1"/>
        </w:rPr>
        <w:t xml:space="preserve">son </w:t>
      </w:r>
      <w:r w:rsidRPr="002D5B1B">
        <w:rPr>
          <w:rFonts w:ascii="Cambria" w:hAnsi="Cambria" w:cs="Times New Roman"/>
          <w:color w:val="4F81BD" w:themeColor="accent1"/>
        </w:rPr>
        <w:t>organisation ne seraient pas conformes à l'article 6</w:t>
      </w:r>
      <w:r w:rsidR="00B419EF">
        <w:rPr>
          <w:rFonts w:ascii="Cambria" w:hAnsi="Cambria" w:cs="Times New Roman"/>
          <w:color w:val="4F81BD" w:themeColor="accent1"/>
        </w:rPr>
        <w:t xml:space="preserve"> </w:t>
      </w:r>
      <w:r w:rsidRPr="002D5B1B">
        <w:rPr>
          <w:rFonts w:ascii="Cambria" w:hAnsi="Cambria" w:cs="Times New Roman"/>
          <w:color w:val="4F81BD" w:themeColor="accent1"/>
        </w:rPr>
        <w:t xml:space="preserve">§1 de la </w:t>
      </w:r>
      <w:r w:rsidR="001F2E84">
        <w:rPr>
          <w:rFonts w:ascii="Cambria" w:hAnsi="Cambria" w:cs="Times New Roman"/>
          <w:color w:val="4F81BD" w:themeColor="accent1"/>
        </w:rPr>
        <w:t>Convention européenne de sauvegarde des droits de l’Homme</w:t>
      </w:r>
      <w:r w:rsidRPr="002D5B1B">
        <w:rPr>
          <w:rFonts w:ascii="Cambria" w:hAnsi="Cambria" w:cs="Times New Roman"/>
          <w:color w:val="4F81BD" w:themeColor="accent1"/>
        </w:rPr>
        <w:t xml:space="preserve">. </w:t>
      </w:r>
    </w:p>
    <w:p w14:paraId="5841CC47" w14:textId="77777777" w:rsidR="002D5B1B" w:rsidRPr="002D5B1B" w:rsidRDefault="002D5B1B" w:rsidP="002D5B1B">
      <w:pPr>
        <w:widowControl w:val="0"/>
        <w:tabs>
          <w:tab w:val="left" w:pos="1125"/>
        </w:tabs>
        <w:autoSpaceDE w:val="0"/>
        <w:autoSpaceDN w:val="0"/>
        <w:adjustRightInd w:val="0"/>
        <w:jc w:val="both"/>
        <w:rPr>
          <w:rFonts w:ascii="Cambria" w:hAnsi="Cambria" w:cs="Times New Roman"/>
          <w:color w:val="4F81BD" w:themeColor="accent1"/>
        </w:rPr>
      </w:pPr>
    </w:p>
    <w:p w14:paraId="6F46A77E" w14:textId="519B0D0E" w:rsidR="002D5B1B" w:rsidRPr="002D5B1B" w:rsidRDefault="002F7F54" w:rsidP="002D5B1B">
      <w:pPr>
        <w:widowControl w:val="0"/>
        <w:tabs>
          <w:tab w:val="left" w:pos="1125"/>
        </w:tabs>
        <w:autoSpaceDE w:val="0"/>
        <w:autoSpaceDN w:val="0"/>
        <w:adjustRightInd w:val="0"/>
        <w:jc w:val="both"/>
        <w:rPr>
          <w:rFonts w:ascii="Cambria" w:hAnsi="Cambria" w:cs="Times New Roman"/>
          <w:color w:val="4F81BD" w:themeColor="accent1"/>
        </w:rPr>
      </w:pPr>
      <w:r>
        <w:rPr>
          <w:rFonts w:ascii="Cambria" w:hAnsi="Cambria" w:cs="Times New Roman"/>
          <w:color w:val="4F81BD" w:themeColor="accent1"/>
        </w:rPr>
        <w:t>Par la même occasion, c</w:t>
      </w:r>
      <w:r w:rsidR="002D5B1B" w:rsidRPr="002D5B1B">
        <w:rPr>
          <w:rFonts w:ascii="Cambria" w:hAnsi="Cambria" w:cs="Times New Roman"/>
          <w:color w:val="4F81BD" w:themeColor="accent1"/>
        </w:rPr>
        <w:t>ette réforme législative permet aux juridictions chargées du contentieux de la Sécurité sociale d'être en accord avec la législation française qui comme exprime dans l'article 16 de la Déclaration des droits de l'</w:t>
      </w:r>
      <w:r>
        <w:rPr>
          <w:rFonts w:ascii="Cambria" w:hAnsi="Cambria" w:cs="Times New Roman"/>
          <w:color w:val="4F81BD" w:themeColor="accent1"/>
        </w:rPr>
        <w:t>H</w:t>
      </w:r>
      <w:r w:rsidR="002D5B1B" w:rsidRPr="002D5B1B">
        <w:rPr>
          <w:rFonts w:ascii="Cambria" w:hAnsi="Cambria" w:cs="Times New Roman"/>
          <w:color w:val="4F81BD" w:themeColor="accent1"/>
        </w:rPr>
        <w:t xml:space="preserve">omme de 1789 </w:t>
      </w:r>
      <w:r>
        <w:rPr>
          <w:rFonts w:ascii="Cambria" w:hAnsi="Cambria" w:cs="Times New Roman"/>
          <w:color w:val="4F81BD" w:themeColor="accent1"/>
        </w:rPr>
        <w:t xml:space="preserve">le fait </w:t>
      </w:r>
      <w:r w:rsidR="002D5B1B" w:rsidRPr="002D5B1B">
        <w:rPr>
          <w:rFonts w:ascii="Cambria" w:hAnsi="Cambria" w:cs="Times New Roman"/>
          <w:color w:val="4F81BD" w:themeColor="accent1"/>
        </w:rPr>
        <w:t>que « </w:t>
      </w:r>
      <w:r>
        <w:rPr>
          <w:rFonts w:ascii="Cambria" w:hAnsi="Cambria" w:cs="Times New Roman"/>
          <w:i/>
          <w:iCs/>
          <w:color w:val="4F81BD" w:themeColor="accent1"/>
        </w:rPr>
        <w:t>T</w:t>
      </w:r>
      <w:r w:rsidR="002D5B1B" w:rsidRPr="002D5B1B">
        <w:rPr>
          <w:rFonts w:ascii="Cambria" w:hAnsi="Cambria" w:cs="Times New Roman"/>
          <w:i/>
          <w:iCs/>
          <w:color w:val="4F81BD" w:themeColor="accent1"/>
        </w:rPr>
        <w:t>oute société dans laquelle la garantie des droits n'est pas assurée ni la séparation des pouvoirs déterminée n'a point de constitution</w:t>
      </w:r>
      <w:r w:rsidR="002D5B1B" w:rsidRPr="002D5B1B">
        <w:rPr>
          <w:rFonts w:ascii="Cambria" w:hAnsi="Cambria" w:cs="Times New Roman"/>
          <w:color w:val="4F81BD" w:themeColor="accent1"/>
        </w:rPr>
        <w:t xml:space="preserve"> ». </w:t>
      </w:r>
    </w:p>
    <w:p w14:paraId="052BB99A" w14:textId="77777777" w:rsidR="00292CA2" w:rsidRDefault="002D5B1B" w:rsidP="002D5B1B">
      <w:pPr>
        <w:widowControl w:val="0"/>
        <w:tabs>
          <w:tab w:val="left" w:pos="1125"/>
        </w:tabs>
        <w:autoSpaceDE w:val="0"/>
        <w:autoSpaceDN w:val="0"/>
        <w:adjustRightInd w:val="0"/>
        <w:jc w:val="both"/>
        <w:rPr>
          <w:rFonts w:ascii="Cambria" w:hAnsi="Cambria" w:cs="Times New Roman"/>
          <w:color w:val="4F81BD" w:themeColor="accent1"/>
        </w:rPr>
      </w:pPr>
      <w:r w:rsidRPr="002D5B1B">
        <w:rPr>
          <w:rFonts w:ascii="Cambria" w:hAnsi="Cambria" w:cs="Times New Roman"/>
          <w:color w:val="4F81BD" w:themeColor="accent1"/>
        </w:rPr>
        <w:t xml:space="preserve">Cet article met avant le fait que pour être une société démocratique, la séparation des pouvoirs doit être assurée entre les différents organes de l'Etat, ainsi les pouvoirs législatif, exécutif et juridictionnel doivent être indépendants. Le pouvoir législatif doit faire la loi, le pouvoir exécutif doit exécuter les lois et le pouvoir juridictionnel doit trancher les litiges. Chaque organe doit être spécialisé </w:t>
      </w:r>
      <w:r w:rsidR="001E7492">
        <w:rPr>
          <w:rFonts w:ascii="Cambria" w:hAnsi="Cambria" w:cs="Times New Roman"/>
          <w:color w:val="4F81BD" w:themeColor="accent1"/>
        </w:rPr>
        <w:t xml:space="preserve">et </w:t>
      </w:r>
      <w:r w:rsidRPr="002D5B1B">
        <w:rPr>
          <w:rFonts w:ascii="Cambria" w:hAnsi="Cambria" w:cs="Times New Roman"/>
          <w:color w:val="4F81BD" w:themeColor="accent1"/>
        </w:rPr>
        <w:t xml:space="preserve">indépendant. Aucun des trois pouvoirs ne doit pouvoir exercer de pressions sur les autres. Ils faut que les autorités ou organes soient mutuellement indépendants ce qui signifie en pratique que les individus qui composent chacune des ces autorités ne doivent pas être nommés par les autres organes et surtout qu'ils ne doivent pas  être discrétionnairement révocables par eux. </w:t>
      </w:r>
    </w:p>
    <w:p w14:paraId="4E704CEB" w14:textId="16512D1F" w:rsidR="002D5B1B" w:rsidRPr="002D5B1B" w:rsidRDefault="002D5B1B" w:rsidP="002D5B1B">
      <w:pPr>
        <w:widowControl w:val="0"/>
        <w:tabs>
          <w:tab w:val="left" w:pos="1125"/>
        </w:tabs>
        <w:autoSpaceDE w:val="0"/>
        <w:autoSpaceDN w:val="0"/>
        <w:adjustRightInd w:val="0"/>
        <w:jc w:val="both"/>
        <w:rPr>
          <w:rFonts w:ascii="Cambria" w:hAnsi="Cambria" w:cs="Times New Roman"/>
          <w:color w:val="4F81BD" w:themeColor="accent1"/>
        </w:rPr>
      </w:pPr>
      <w:r w:rsidRPr="002D5B1B">
        <w:rPr>
          <w:rFonts w:ascii="Cambria" w:hAnsi="Cambria" w:cs="Times New Roman"/>
          <w:color w:val="4F81BD" w:themeColor="accent1"/>
        </w:rPr>
        <w:t>Pourtant, c'est bel et bien ce qu'il se passait dans le cadre du contentieux de la Sécurité sociale. Les TCI et l</w:t>
      </w:r>
      <w:r w:rsidR="00577B2B">
        <w:rPr>
          <w:rFonts w:ascii="Cambria" w:hAnsi="Cambria" w:cs="Times New Roman"/>
          <w:color w:val="4F81BD" w:themeColor="accent1"/>
        </w:rPr>
        <w:t>a</w:t>
      </w:r>
      <w:r w:rsidRPr="002D5B1B">
        <w:rPr>
          <w:rFonts w:ascii="Cambria" w:hAnsi="Cambria" w:cs="Times New Roman"/>
          <w:color w:val="4F81BD" w:themeColor="accent1"/>
        </w:rPr>
        <w:t xml:space="preserve"> CNITAT</w:t>
      </w:r>
      <w:r w:rsidR="00577B2B">
        <w:rPr>
          <w:rFonts w:ascii="Cambria" w:hAnsi="Cambria" w:cs="Times New Roman"/>
          <w:color w:val="4F81BD" w:themeColor="accent1"/>
        </w:rPr>
        <w:t>,</w:t>
      </w:r>
      <w:r w:rsidRPr="002D5B1B">
        <w:rPr>
          <w:rFonts w:ascii="Cambria" w:hAnsi="Cambria" w:cs="Times New Roman"/>
          <w:color w:val="4F81BD" w:themeColor="accent1"/>
        </w:rPr>
        <w:t xml:space="preserve"> organes juridictionnels</w:t>
      </w:r>
      <w:r w:rsidR="00577B2B">
        <w:rPr>
          <w:rFonts w:ascii="Cambria" w:hAnsi="Cambria" w:cs="Times New Roman"/>
          <w:color w:val="4F81BD" w:themeColor="accent1"/>
        </w:rPr>
        <w:t>,</w:t>
      </w:r>
      <w:r w:rsidRPr="002D5B1B">
        <w:rPr>
          <w:rFonts w:ascii="Cambria" w:hAnsi="Cambria" w:cs="Times New Roman"/>
          <w:color w:val="4F81BD" w:themeColor="accent1"/>
        </w:rPr>
        <w:t xml:space="preserve"> n'étaient pas totalement libres et indépendants, le pouvoir exécutif exerçant indirectement une influence et des pressions sur les fonctionnaires, les membres et les présidents de ces deux juridictions. </w:t>
      </w:r>
    </w:p>
    <w:p w14:paraId="4543A126" w14:textId="77777777" w:rsidR="002D5B1B" w:rsidRPr="002D5B1B" w:rsidRDefault="002D5B1B" w:rsidP="002D5B1B">
      <w:pPr>
        <w:widowControl w:val="0"/>
        <w:tabs>
          <w:tab w:val="left" w:pos="1125"/>
        </w:tabs>
        <w:autoSpaceDE w:val="0"/>
        <w:autoSpaceDN w:val="0"/>
        <w:adjustRightInd w:val="0"/>
        <w:jc w:val="both"/>
        <w:rPr>
          <w:rFonts w:ascii="Cambria" w:hAnsi="Cambria" w:cs="Times New Roman"/>
          <w:color w:val="4F81BD" w:themeColor="accent1"/>
        </w:rPr>
      </w:pPr>
    </w:p>
    <w:p w14:paraId="22ADA4DF" w14:textId="77777777" w:rsidR="00213B6E" w:rsidRDefault="002D5B1B" w:rsidP="002D5B1B">
      <w:pPr>
        <w:widowControl w:val="0"/>
        <w:tabs>
          <w:tab w:val="left" w:pos="1125"/>
        </w:tabs>
        <w:autoSpaceDE w:val="0"/>
        <w:autoSpaceDN w:val="0"/>
        <w:adjustRightInd w:val="0"/>
        <w:jc w:val="both"/>
        <w:rPr>
          <w:rFonts w:ascii="Cambria" w:hAnsi="Cambria" w:cs="Times New Roman"/>
          <w:color w:val="4F81BD" w:themeColor="accent1"/>
        </w:rPr>
      </w:pPr>
      <w:r w:rsidRPr="002D5B1B">
        <w:rPr>
          <w:rFonts w:ascii="Cambria" w:hAnsi="Cambria" w:cs="Times New Roman"/>
          <w:color w:val="4F81BD" w:themeColor="accent1"/>
        </w:rPr>
        <w:t>La première réforme du contentieux technique de l'inca</w:t>
      </w:r>
      <w:r w:rsidR="002E7DE7">
        <w:rPr>
          <w:rFonts w:ascii="Cambria" w:hAnsi="Cambria" w:cs="Times New Roman"/>
          <w:color w:val="4F81BD" w:themeColor="accent1"/>
        </w:rPr>
        <w:t>pacité qui a réellement modifié</w:t>
      </w:r>
      <w:r w:rsidRPr="002D5B1B">
        <w:rPr>
          <w:rFonts w:ascii="Cambria" w:hAnsi="Cambria" w:cs="Times New Roman"/>
          <w:color w:val="4F81BD" w:themeColor="accent1"/>
        </w:rPr>
        <w:t xml:space="preserve"> les choses résulte de la loi de modernisation sociale adoptée le 17 janvier 2002 et de son décret d'application pris par le Gouvernement le 3 juillet 2003. </w:t>
      </w:r>
    </w:p>
    <w:p w14:paraId="5CF441AC" w14:textId="7A9AC5D1" w:rsidR="003603F7" w:rsidRDefault="002D5B1B" w:rsidP="002D5B1B">
      <w:pPr>
        <w:widowControl w:val="0"/>
        <w:tabs>
          <w:tab w:val="left" w:pos="1125"/>
        </w:tabs>
        <w:autoSpaceDE w:val="0"/>
        <w:autoSpaceDN w:val="0"/>
        <w:adjustRightInd w:val="0"/>
        <w:jc w:val="both"/>
        <w:rPr>
          <w:rFonts w:ascii="Cambria" w:hAnsi="Cambria" w:cs="Times New Roman"/>
          <w:color w:val="4F81BD" w:themeColor="accent1"/>
        </w:rPr>
      </w:pPr>
      <w:r w:rsidRPr="002D5B1B">
        <w:rPr>
          <w:rFonts w:ascii="Cambria" w:hAnsi="Cambria" w:cs="Times New Roman"/>
          <w:color w:val="4F81BD" w:themeColor="accent1"/>
        </w:rPr>
        <w:t>En 2010</w:t>
      </w:r>
      <w:r w:rsidR="008854E1">
        <w:rPr>
          <w:rFonts w:ascii="Cambria" w:hAnsi="Cambria" w:cs="Times New Roman"/>
          <w:color w:val="4F81BD" w:themeColor="accent1"/>
        </w:rPr>
        <w:t>,</w:t>
      </w:r>
      <w:r w:rsidRPr="002D5B1B">
        <w:rPr>
          <w:rFonts w:ascii="Cambria" w:hAnsi="Cambria" w:cs="Times New Roman"/>
          <w:color w:val="4F81BD" w:themeColor="accent1"/>
        </w:rPr>
        <w:t xml:space="preserve"> une réforme sur l'oralité de la procédure a été prise. Celle-ci assure de manière indirecte le principe du contradictoire. </w:t>
      </w:r>
    </w:p>
    <w:p w14:paraId="7EAC6C96" w14:textId="77777777" w:rsidR="00936AA8" w:rsidRDefault="00936AA8" w:rsidP="002D5B1B">
      <w:pPr>
        <w:widowControl w:val="0"/>
        <w:tabs>
          <w:tab w:val="left" w:pos="1125"/>
        </w:tabs>
        <w:autoSpaceDE w:val="0"/>
        <w:autoSpaceDN w:val="0"/>
        <w:adjustRightInd w:val="0"/>
        <w:jc w:val="both"/>
        <w:rPr>
          <w:rFonts w:ascii="Cambria" w:hAnsi="Cambria" w:cs="Times New Roman"/>
          <w:color w:val="4F81BD" w:themeColor="accent1"/>
        </w:rPr>
      </w:pPr>
    </w:p>
    <w:p w14:paraId="37CEAE4E" w14:textId="257EFDF0" w:rsidR="00936AA8" w:rsidRDefault="00936AA8" w:rsidP="002D5B1B">
      <w:pPr>
        <w:widowControl w:val="0"/>
        <w:tabs>
          <w:tab w:val="left" w:pos="1125"/>
        </w:tabs>
        <w:autoSpaceDE w:val="0"/>
        <w:autoSpaceDN w:val="0"/>
        <w:adjustRightInd w:val="0"/>
        <w:jc w:val="both"/>
        <w:rPr>
          <w:rFonts w:ascii="Cambria" w:hAnsi="Cambria" w:cs="Times New Roman"/>
        </w:rPr>
      </w:pPr>
      <w:r w:rsidRPr="00936AA8">
        <w:rPr>
          <w:rFonts w:ascii="Cambria" w:hAnsi="Cambria" w:cs="Times New Roman"/>
        </w:rPr>
        <w:t xml:space="preserve">1/ Une </w:t>
      </w:r>
      <w:r>
        <w:rPr>
          <w:rFonts w:ascii="Cambria" w:hAnsi="Cambria" w:cs="Times New Roman"/>
        </w:rPr>
        <w:t>réforme du contentieux technique de la Sécurité sociale</w:t>
      </w:r>
      <w:r w:rsidR="00C5453F">
        <w:rPr>
          <w:rFonts w:ascii="Cambria" w:hAnsi="Cambria" w:cs="Times New Roman"/>
        </w:rPr>
        <w:t xml:space="preserve"> par la loi de modernisation sociale du 17 janvier 2002. </w:t>
      </w:r>
    </w:p>
    <w:p w14:paraId="34D2A530" w14:textId="77777777" w:rsidR="00863778" w:rsidRDefault="00863778" w:rsidP="002D5B1B">
      <w:pPr>
        <w:widowControl w:val="0"/>
        <w:tabs>
          <w:tab w:val="left" w:pos="1125"/>
        </w:tabs>
        <w:autoSpaceDE w:val="0"/>
        <w:autoSpaceDN w:val="0"/>
        <w:adjustRightInd w:val="0"/>
        <w:jc w:val="both"/>
        <w:rPr>
          <w:rFonts w:ascii="Cambria" w:hAnsi="Cambria" w:cs="Times New Roman"/>
        </w:rPr>
      </w:pPr>
    </w:p>
    <w:p w14:paraId="539C708B" w14:textId="6F7A43BD" w:rsidR="00715400" w:rsidRPr="00715400" w:rsidRDefault="00715400" w:rsidP="00715400">
      <w:pPr>
        <w:widowControl w:val="0"/>
        <w:tabs>
          <w:tab w:val="left" w:pos="1125"/>
        </w:tabs>
        <w:autoSpaceDE w:val="0"/>
        <w:autoSpaceDN w:val="0"/>
        <w:adjustRightInd w:val="0"/>
        <w:jc w:val="both"/>
        <w:rPr>
          <w:rFonts w:ascii="Cambria" w:hAnsi="Cambria" w:cs="Times New Roman"/>
          <w:color w:val="4F81BD" w:themeColor="accent1"/>
        </w:rPr>
      </w:pPr>
      <w:r w:rsidRPr="00715400">
        <w:rPr>
          <w:rFonts w:ascii="Cambria" w:hAnsi="Cambria" w:cs="Times New Roman"/>
          <w:color w:val="4F81BD" w:themeColor="accent1"/>
        </w:rPr>
        <w:t>Cette réforme a modif</w:t>
      </w:r>
      <w:r w:rsidR="00D21B6A">
        <w:rPr>
          <w:rFonts w:ascii="Cambria" w:hAnsi="Cambria" w:cs="Times New Roman"/>
          <w:color w:val="4F81BD" w:themeColor="accent1"/>
        </w:rPr>
        <w:t>ié l'organisation des TCI et de la</w:t>
      </w:r>
      <w:r w:rsidRPr="00715400">
        <w:rPr>
          <w:rFonts w:ascii="Cambria" w:hAnsi="Cambria" w:cs="Times New Roman"/>
          <w:color w:val="4F81BD" w:themeColor="accent1"/>
        </w:rPr>
        <w:t xml:space="preserve"> CNITAT en profondeur. La composition de </w:t>
      </w:r>
      <w:r w:rsidR="00D21B6A">
        <w:rPr>
          <w:rFonts w:ascii="Cambria" w:hAnsi="Cambria" w:cs="Times New Roman"/>
          <w:color w:val="4F81BD" w:themeColor="accent1"/>
        </w:rPr>
        <w:t>c</w:t>
      </w:r>
      <w:r w:rsidRPr="00715400">
        <w:rPr>
          <w:rFonts w:ascii="Cambria" w:hAnsi="Cambria" w:cs="Times New Roman"/>
          <w:color w:val="4F81BD" w:themeColor="accent1"/>
        </w:rPr>
        <w:t>es juri</w:t>
      </w:r>
      <w:r w:rsidR="00A6079B">
        <w:rPr>
          <w:rFonts w:ascii="Cambria" w:hAnsi="Cambria" w:cs="Times New Roman"/>
          <w:color w:val="4F81BD" w:themeColor="accent1"/>
        </w:rPr>
        <w:t>dictions a changé ainsi que le</w:t>
      </w:r>
      <w:r w:rsidRPr="00715400">
        <w:rPr>
          <w:rFonts w:ascii="Cambria" w:hAnsi="Cambria" w:cs="Times New Roman"/>
          <w:color w:val="4F81BD" w:themeColor="accent1"/>
        </w:rPr>
        <w:t xml:space="preserve"> mode de désignation</w:t>
      </w:r>
      <w:r w:rsidR="00A6079B">
        <w:rPr>
          <w:rFonts w:ascii="Cambria" w:hAnsi="Cambria" w:cs="Times New Roman"/>
          <w:color w:val="4F81BD" w:themeColor="accent1"/>
        </w:rPr>
        <w:t xml:space="preserve"> des membres qui la composent</w:t>
      </w:r>
      <w:r w:rsidRPr="00715400">
        <w:rPr>
          <w:rFonts w:ascii="Cambria" w:hAnsi="Cambria" w:cs="Times New Roman"/>
          <w:color w:val="4F81BD" w:themeColor="accent1"/>
        </w:rPr>
        <w:t>.</w:t>
      </w:r>
    </w:p>
    <w:p w14:paraId="33967650" w14:textId="77777777" w:rsidR="00715400" w:rsidRPr="00715400" w:rsidRDefault="00715400" w:rsidP="00715400">
      <w:pPr>
        <w:widowControl w:val="0"/>
        <w:tabs>
          <w:tab w:val="left" w:pos="1125"/>
        </w:tabs>
        <w:autoSpaceDE w:val="0"/>
        <w:autoSpaceDN w:val="0"/>
        <w:adjustRightInd w:val="0"/>
        <w:jc w:val="both"/>
        <w:rPr>
          <w:rFonts w:ascii="Cambria" w:hAnsi="Cambria" w:cs="Times New Roman"/>
          <w:color w:val="4F81BD" w:themeColor="accent1"/>
        </w:rPr>
      </w:pPr>
    </w:p>
    <w:p w14:paraId="2E45B188" w14:textId="778B415F" w:rsidR="00715400" w:rsidRPr="00715400" w:rsidRDefault="00715400" w:rsidP="00715400">
      <w:pPr>
        <w:widowControl w:val="0"/>
        <w:autoSpaceDE w:val="0"/>
        <w:autoSpaceDN w:val="0"/>
        <w:adjustRightInd w:val="0"/>
        <w:jc w:val="both"/>
        <w:rPr>
          <w:rFonts w:ascii="Cambria" w:hAnsi="Cambria" w:cs="Times"/>
          <w:color w:val="4F81BD" w:themeColor="accent1"/>
        </w:rPr>
      </w:pPr>
      <w:r w:rsidRPr="00715400">
        <w:rPr>
          <w:rFonts w:ascii="Cambria" w:hAnsi="Cambria" w:cs="Times New Roman"/>
          <w:color w:val="4F81BD" w:themeColor="accent1"/>
        </w:rPr>
        <w:t>Pour ce qui est de la composition des TCI</w:t>
      </w:r>
      <w:r w:rsidR="00A02B5D">
        <w:rPr>
          <w:rFonts w:ascii="Cambria" w:hAnsi="Cambria" w:cs="Times New Roman"/>
          <w:color w:val="4F81BD" w:themeColor="accent1"/>
        </w:rPr>
        <w:t>, l’article</w:t>
      </w:r>
      <w:r w:rsidRPr="00715400">
        <w:rPr>
          <w:rFonts w:ascii="Cambria" w:hAnsi="Cambria" w:cs="Times New Roman"/>
          <w:color w:val="4F81BD" w:themeColor="accent1"/>
        </w:rPr>
        <w:t xml:space="preserve"> </w:t>
      </w:r>
      <w:r w:rsidR="00A02B5D">
        <w:rPr>
          <w:rFonts w:ascii="Cambria" w:hAnsi="Cambria" w:cs="Times"/>
          <w:color w:val="4F81BD" w:themeColor="accent1"/>
        </w:rPr>
        <w:t>L</w:t>
      </w:r>
      <w:r w:rsidRPr="00715400">
        <w:rPr>
          <w:rFonts w:ascii="Cambria" w:hAnsi="Cambria" w:cs="Times"/>
          <w:color w:val="4F81BD" w:themeColor="accent1"/>
        </w:rPr>
        <w:t xml:space="preserve">143-2 dispose désormais que les tribunaux du contentieux de l’incapacité </w:t>
      </w:r>
      <w:r w:rsidRPr="00715400">
        <w:rPr>
          <w:rFonts w:ascii="Cambria" w:hAnsi="Cambria" w:cs="Times"/>
          <w:color w:val="4F81BD" w:themeColor="accent1"/>
          <w:sz w:val="20"/>
          <w:szCs w:val="20"/>
        </w:rPr>
        <w:t xml:space="preserve">« </w:t>
      </w:r>
      <w:r w:rsidRPr="00715400">
        <w:rPr>
          <w:rFonts w:ascii="Cambria" w:hAnsi="Cambria" w:cs="Times"/>
          <w:i/>
          <w:iCs/>
          <w:color w:val="4F81BD" w:themeColor="accent1"/>
        </w:rPr>
        <w:t xml:space="preserve">se composent d’un président, magistrat honoraire de l’ordre administratif ou judiciaire, de deux assesseurs représentant les travailleurs salariés et de deux assesseurs représentants les employeurs ou travailleurs indépendants </w:t>
      </w:r>
      <w:r w:rsidRPr="00715400">
        <w:rPr>
          <w:rFonts w:ascii="Cambria" w:hAnsi="Cambria" w:cs="Times"/>
          <w:color w:val="4F81BD" w:themeColor="accent1"/>
        </w:rPr>
        <w:t xml:space="preserve">». </w:t>
      </w:r>
      <w:r w:rsidR="00DB7954">
        <w:rPr>
          <w:rFonts w:ascii="Cambria" w:hAnsi="Cambria" w:cs="Times"/>
          <w:color w:val="4F81BD" w:themeColor="accent1"/>
        </w:rPr>
        <w:t xml:space="preserve">D'une part, cette loi a </w:t>
      </w:r>
      <w:r w:rsidRPr="00715400">
        <w:rPr>
          <w:rFonts w:ascii="Cambria" w:hAnsi="Cambria" w:cs="Times"/>
          <w:color w:val="4F81BD" w:themeColor="accent1"/>
        </w:rPr>
        <w:t xml:space="preserve">supprimé toute trace de fonctionnaires et d'autre part, les TCI ne sont plus présidés ni par le directeur régional des affaires sanitaires et sociales ni par le chef régional de l'inspection du travail, de l'emploi et de la politique sociale agricole.  </w:t>
      </w:r>
    </w:p>
    <w:p w14:paraId="42B87969" w14:textId="3DC6AA02" w:rsidR="00715400" w:rsidRPr="00715400" w:rsidRDefault="00715400" w:rsidP="00715400">
      <w:pPr>
        <w:widowControl w:val="0"/>
        <w:autoSpaceDE w:val="0"/>
        <w:autoSpaceDN w:val="0"/>
        <w:adjustRightInd w:val="0"/>
        <w:jc w:val="both"/>
        <w:rPr>
          <w:rFonts w:ascii="Cambria" w:hAnsi="Cambria" w:cs="Times"/>
          <w:color w:val="4F81BD" w:themeColor="accent1"/>
        </w:rPr>
      </w:pPr>
      <w:r w:rsidRPr="00715400">
        <w:rPr>
          <w:rFonts w:ascii="Cambria" w:hAnsi="Cambria" w:cs="Times"/>
          <w:color w:val="4F81BD" w:themeColor="accent1"/>
        </w:rPr>
        <w:t>Par ailleurs, l’exigence d’indépendance et d’impartialité est expressément inscrite dans ce nouvel article L</w:t>
      </w:r>
      <w:r w:rsidR="009C2847">
        <w:rPr>
          <w:rFonts w:ascii="Cambria" w:hAnsi="Cambria" w:cs="Times"/>
          <w:color w:val="4F81BD" w:themeColor="accent1"/>
        </w:rPr>
        <w:t>143-2</w:t>
      </w:r>
      <w:r w:rsidRPr="00715400">
        <w:rPr>
          <w:rFonts w:ascii="Cambria" w:hAnsi="Cambria" w:cs="Times"/>
          <w:color w:val="4F81BD" w:themeColor="accent1"/>
        </w:rPr>
        <w:t xml:space="preserve"> puisque celui-ci prévoit, en son troisième alinéa, que « </w:t>
      </w:r>
      <w:r w:rsidRPr="00715400">
        <w:rPr>
          <w:rFonts w:ascii="Cambria" w:hAnsi="Cambria" w:cs="Times"/>
          <w:i/>
          <w:iCs/>
          <w:color w:val="4F81BD" w:themeColor="accent1"/>
        </w:rPr>
        <w:t xml:space="preserve">si un magistrat honoraire ne peut être désigné en qualité de président, la présidence est assurée par une personnalité présentant des garanties d’indépendance et d’impartialité, et que sa compétence et son expérience dans les domaines juridiques qualifient pour l’exercice de ces fonctions </w:t>
      </w:r>
      <w:r w:rsidRPr="00715400">
        <w:rPr>
          <w:rFonts w:ascii="Cambria" w:hAnsi="Cambria" w:cs="Times"/>
          <w:color w:val="4F81BD" w:themeColor="accent1"/>
        </w:rPr>
        <w:t>».</w:t>
      </w:r>
    </w:p>
    <w:p w14:paraId="3A16842A" w14:textId="77777777" w:rsidR="00715400" w:rsidRPr="00715400" w:rsidRDefault="00715400" w:rsidP="00715400">
      <w:pPr>
        <w:widowControl w:val="0"/>
        <w:autoSpaceDE w:val="0"/>
        <w:autoSpaceDN w:val="0"/>
        <w:adjustRightInd w:val="0"/>
        <w:jc w:val="both"/>
        <w:rPr>
          <w:rFonts w:ascii="Cambria" w:hAnsi="Cambria" w:cs="Times"/>
          <w:color w:val="4F81BD" w:themeColor="accent1"/>
          <w:sz w:val="20"/>
          <w:szCs w:val="20"/>
        </w:rPr>
      </w:pPr>
    </w:p>
    <w:p w14:paraId="0CD922FE" w14:textId="4AB90B48" w:rsidR="00715400" w:rsidRPr="00715400" w:rsidRDefault="00715400" w:rsidP="00715400">
      <w:pPr>
        <w:widowControl w:val="0"/>
        <w:autoSpaceDE w:val="0"/>
        <w:autoSpaceDN w:val="0"/>
        <w:adjustRightInd w:val="0"/>
        <w:jc w:val="both"/>
        <w:rPr>
          <w:rFonts w:ascii="Cambria" w:hAnsi="Cambria" w:cs="Times"/>
          <w:color w:val="4F81BD" w:themeColor="accent1"/>
        </w:rPr>
      </w:pPr>
      <w:r w:rsidRPr="00715400">
        <w:rPr>
          <w:rFonts w:ascii="Cambria" w:hAnsi="Cambria" w:cs="Times"/>
          <w:color w:val="4F81BD" w:themeColor="accent1"/>
        </w:rPr>
        <w:t>Pour ce qui est des modalités de désignation d</w:t>
      </w:r>
      <w:r w:rsidR="008804EC">
        <w:rPr>
          <w:rFonts w:ascii="Cambria" w:hAnsi="Cambria" w:cs="Times"/>
          <w:color w:val="4F81BD" w:themeColor="accent1"/>
        </w:rPr>
        <w:t>es membres</w:t>
      </w:r>
      <w:r w:rsidRPr="00715400">
        <w:rPr>
          <w:rFonts w:ascii="Cambria" w:hAnsi="Cambria" w:cs="Times"/>
          <w:color w:val="4F81BD" w:themeColor="accent1"/>
        </w:rPr>
        <w:t xml:space="preserve"> et de la durée de leur mandat</w:t>
      </w:r>
      <w:r w:rsidR="008804EC">
        <w:rPr>
          <w:rFonts w:ascii="Cambria" w:hAnsi="Cambria" w:cs="Times"/>
          <w:color w:val="4F81BD" w:themeColor="accent1"/>
        </w:rPr>
        <w:t>,</w:t>
      </w:r>
      <w:r w:rsidRPr="00715400">
        <w:rPr>
          <w:rFonts w:ascii="Cambria" w:hAnsi="Cambria" w:cs="Times"/>
          <w:color w:val="4F81BD" w:themeColor="accent1"/>
        </w:rPr>
        <w:t xml:space="preserve"> la loi de m</w:t>
      </w:r>
      <w:r w:rsidR="008B7B35">
        <w:rPr>
          <w:rFonts w:ascii="Cambria" w:hAnsi="Cambria" w:cs="Times"/>
          <w:color w:val="4F81BD" w:themeColor="accent1"/>
        </w:rPr>
        <w:t>odernisation sociale contribue</w:t>
      </w:r>
      <w:r w:rsidRPr="00715400">
        <w:rPr>
          <w:rFonts w:ascii="Cambria" w:hAnsi="Cambria" w:cs="Times"/>
          <w:color w:val="4F81BD" w:themeColor="accent1"/>
        </w:rPr>
        <w:t xml:space="preserve"> égalem</w:t>
      </w:r>
      <w:r w:rsidR="008B7B35">
        <w:rPr>
          <w:rFonts w:ascii="Cambria" w:hAnsi="Cambria" w:cs="Times"/>
          <w:color w:val="4F81BD" w:themeColor="accent1"/>
        </w:rPr>
        <w:t xml:space="preserve">ent à assurer leur indépendance et </w:t>
      </w:r>
      <w:r w:rsidRPr="00715400">
        <w:rPr>
          <w:rFonts w:ascii="Cambria" w:hAnsi="Cambria" w:cs="Times"/>
          <w:color w:val="4F81BD" w:themeColor="accent1"/>
        </w:rPr>
        <w:t>leur impartialité. Ainsi,</w:t>
      </w:r>
      <w:r w:rsidR="006B0AA3">
        <w:rPr>
          <w:rFonts w:ascii="Cambria" w:hAnsi="Cambria" w:cs="Times"/>
          <w:color w:val="4F81BD" w:themeColor="accent1"/>
        </w:rPr>
        <w:t xml:space="preserve"> en application de l’article L</w:t>
      </w:r>
      <w:r w:rsidRPr="00715400">
        <w:rPr>
          <w:rFonts w:ascii="Cambria" w:hAnsi="Cambria" w:cs="Times"/>
          <w:color w:val="4F81BD" w:themeColor="accent1"/>
        </w:rPr>
        <w:t xml:space="preserve">143-2 alinéa 4 tel qu’issu de cette loi, « </w:t>
      </w:r>
      <w:r w:rsidRPr="00715400">
        <w:rPr>
          <w:rFonts w:ascii="Cambria" w:hAnsi="Cambria" w:cs="Times"/>
          <w:i/>
          <w:iCs/>
          <w:color w:val="4F81BD" w:themeColor="accent1"/>
        </w:rPr>
        <w:t>le président est désigné pour trois ans renouvelables par arrêté du garde des sceaux, ministre de la justice, sur une liste de quatre noms dressée par le premier président</w:t>
      </w:r>
      <w:r w:rsidRPr="00715400">
        <w:rPr>
          <w:rFonts w:ascii="Cambria" w:hAnsi="Cambria" w:cs="Times New Roman"/>
          <w:i/>
          <w:iCs/>
          <w:color w:val="4F81BD" w:themeColor="accent1"/>
        </w:rPr>
        <w:t xml:space="preserve"> </w:t>
      </w:r>
      <w:r w:rsidRPr="00715400">
        <w:rPr>
          <w:rFonts w:ascii="Cambria" w:hAnsi="Cambria" w:cs="Times"/>
          <w:i/>
          <w:iCs/>
          <w:color w:val="4F81BD" w:themeColor="accent1"/>
        </w:rPr>
        <w:t>de la cour d’appel dans le ressort de laquelle le tribunal a son siège »</w:t>
      </w:r>
      <w:r w:rsidRPr="00E81888">
        <w:rPr>
          <w:rFonts w:ascii="Cambria" w:hAnsi="Cambria" w:cs="Times"/>
          <w:iCs/>
          <w:color w:val="4F81BD" w:themeColor="accent1"/>
        </w:rPr>
        <w:t xml:space="preserve">. De la même façon, les </w:t>
      </w:r>
      <w:r w:rsidRPr="00E81888">
        <w:rPr>
          <w:rFonts w:ascii="Cambria" w:hAnsi="Cambria" w:cs="Times"/>
          <w:color w:val="4F81BD" w:themeColor="accent1"/>
        </w:rPr>
        <w:t>assesseurs sont, en vertu du septième alinéa de cette disposition</w:t>
      </w:r>
      <w:r w:rsidRPr="00715400">
        <w:rPr>
          <w:rFonts w:ascii="Cambria" w:hAnsi="Cambria" w:cs="Times"/>
          <w:color w:val="4F81BD" w:themeColor="accent1"/>
        </w:rPr>
        <w:t xml:space="preserve"> « </w:t>
      </w:r>
      <w:r w:rsidRPr="00715400">
        <w:rPr>
          <w:rFonts w:ascii="Cambria" w:hAnsi="Cambria" w:cs="Times"/>
          <w:i/>
          <w:iCs/>
          <w:color w:val="4F81BD" w:themeColor="accent1"/>
        </w:rPr>
        <w:t xml:space="preserve">désignés pour une durée de trois ans renouvelable par le premier président de la </w:t>
      </w:r>
      <w:r w:rsidR="00FC64CE">
        <w:rPr>
          <w:rFonts w:ascii="Cambria" w:hAnsi="Cambria" w:cs="Times"/>
          <w:i/>
          <w:iCs/>
          <w:color w:val="4F81BD" w:themeColor="accent1"/>
        </w:rPr>
        <w:t>C</w:t>
      </w:r>
      <w:r w:rsidRPr="00715400">
        <w:rPr>
          <w:rFonts w:ascii="Cambria" w:hAnsi="Cambria" w:cs="Times"/>
          <w:i/>
          <w:iCs/>
          <w:color w:val="4F81BD" w:themeColor="accent1"/>
        </w:rPr>
        <w:t xml:space="preserve">our d’appel (…) sur liste dressée sur proposition des organisations professionnelles les plus représentatives intéressées, selon le cas, par le chef du service régional de l’inspection du travail, de l’emploi et de la politique sociale agricoles ou par le directeur régional des affaires sanitaires et sociales </w:t>
      </w:r>
      <w:r w:rsidRPr="00715400">
        <w:rPr>
          <w:rFonts w:ascii="Cambria" w:hAnsi="Cambria" w:cs="Times"/>
          <w:color w:val="4F81BD" w:themeColor="accent1"/>
        </w:rPr>
        <w:t>».</w:t>
      </w:r>
    </w:p>
    <w:p w14:paraId="012014B0" w14:textId="77777777" w:rsidR="00715400" w:rsidRPr="00715400" w:rsidRDefault="00715400" w:rsidP="00715400">
      <w:pPr>
        <w:widowControl w:val="0"/>
        <w:autoSpaceDE w:val="0"/>
        <w:autoSpaceDN w:val="0"/>
        <w:adjustRightInd w:val="0"/>
        <w:jc w:val="both"/>
        <w:rPr>
          <w:rFonts w:ascii="Cambria" w:hAnsi="Cambria" w:cs="Times"/>
          <w:color w:val="4F81BD" w:themeColor="accent1"/>
          <w:sz w:val="20"/>
          <w:szCs w:val="20"/>
        </w:rPr>
      </w:pPr>
    </w:p>
    <w:p w14:paraId="46C65012" w14:textId="2B2EA447" w:rsidR="00715400" w:rsidRPr="00715400" w:rsidRDefault="00F1348D" w:rsidP="00715400">
      <w:pPr>
        <w:widowControl w:val="0"/>
        <w:autoSpaceDE w:val="0"/>
        <w:autoSpaceDN w:val="0"/>
        <w:adjustRightInd w:val="0"/>
        <w:jc w:val="both"/>
        <w:rPr>
          <w:rFonts w:ascii="Cambria" w:hAnsi="Cambria" w:cs="Times"/>
          <w:color w:val="4F81BD" w:themeColor="accent1"/>
        </w:rPr>
      </w:pPr>
      <w:r>
        <w:rPr>
          <w:rFonts w:ascii="Cambria" w:hAnsi="Cambria" w:cs="Times"/>
          <w:color w:val="4F81BD" w:themeColor="accent1"/>
        </w:rPr>
        <w:t>La composition de la</w:t>
      </w:r>
      <w:r w:rsidR="00715400" w:rsidRPr="00715400">
        <w:rPr>
          <w:rFonts w:ascii="Cambria" w:hAnsi="Cambria" w:cs="Times"/>
          <w:color w:val="4F81BD" w:themeColor="accent1"/>
        </w:rPr>
        <w:t xml:space="preserve"> CNITAT a aussi été modifié</w:t>
      </w:r>
      <w:r>
        <w:rPr>
          <w:rFonts w:ascii="Cambria" w:hAnsi="Cambria" w:cs="Times"/>
          <w:color w:val="4F81BD" w:themeColor="accent1"/>
        </w:rPr>
        <w:t>e.</w:t>
      </w:r>
      <w:r w:rsidR="00715400" w:rsidRPr="00715400">
        <w:rPr>
          <w:rFonts w:ascii="Cambria" w:hAnsi="Cambria" w:cs="Times"/>
          <w:color w:val="4F81BD" w:themeColor="accent1"/>
        </w:rPr>
        <w:t xml:space="preserve"> </w:t>
      </w:r>
      <w:r>
        <w:rPr>
          <w:rFonts w:ascii="Cambria" w:hAnsi="Cambria" w:cs="Times"/>
          <w:color w:val="4F81BD" w:themeColor="accent1"/>
        </w:rPr>
        <w:t>D</w:t>
      </w:r>
      <w:r w:rsidR="00715400" w:rsidRPr="00715400">
        <w:rPr>
          <w:rFonts w:ascii="Cambria" w:hAnsi="Cambria" w:cs="Times"/>
          <w:color w:val="4F81BD" w:themeColor="accent1"/>
        </w:rPr>
        <w:t>ésorm</w:t>
      </w:r>
      <w:r>
        <w:rPr>
          <w:rFonts w:ascii="Cambria" w:hAnsi="Cambria" w:cs="Times"/>
          <w:color w:val="4F81BD" w:themeColor="accent1"/>
        </w:rPr>
        <w:t>ais, aux termes de l’article L</w:t>
      </w:r>
      <w:r w:rsidR="00715400" w:rsidRPr="00715400">
        <w:rPr>
          <w:rFonts w:ascii="Cambria" w:hAnsi="Cambria" w:cs="Times"/>
          <w:color w:val="4F81BD" w:themeColor="accent1"/>
        </w:rPr>
        <w:t xml:space="preserve">143-3 du Code de la Sécurité sociale tel qu’issu de la loi de modernisation sociale, la CNITAT est composée d’« </w:t>
      </w:r>
      <w:r w:rsidR="00715400" w:rsidRPr="00715400">
        <w:rPr>
          <w:rFonts w:ascii="Cambria" w:hAnsi="Cambria" w:cs="Times"/>
          <w:i/>
          <w:iCs/>
          <w:color w:val="4F81BD" w:themeColor="accent1"/>
        </w:rPr>
        <w:t xml:space="preserve">un président, magistrat du siège de la cour d’appel (…), désigné pour trois ans dans les formes prévues pour la nomination des magistrats du siège, de présidents de section, magistrats de ladite cour d’appel désignés pour trois ans par ordonnance du premier président prise avec leur consentement et après avis de l’assemblée générale des magistrats du siège et d’assesseurs représentant les travailleurs salariés, d’une part, et les employeurs ou travailleurs indépendants, d’autre part </w:t>
      </w:r>
      <w:r w:rsidR="00715400" w:rsidRPr="00715400">
        <w:rPr>
          <w:rFonts w:ascii="Cambria" w:hAnsi="Cambria" w:cs="Times"/>
          <w:color w:val="4F81BD" w:themeColor="accent1"/>
        </w:rPr>
        <w:t>».</w:t>
      </w:r>
    </w:p>
    <w:p w14:paraId="40FA9BDB" w14:textId="0F2FC586" w:rsidR="00715400" w:rsidRPr="00715400" w:rsidRDefault="00715400" w:rsidP="00715400">
      <w:pPr>
        <w:widowControl w:val="0"/>
        <w:autoSpaceDE w:val="0"/>
        <w:autoSpaceDN w:val="0"/>
        <w:adjustRightInd w:val="0"/>
        <w:jc w:val="both"/>
        <w:rPr>
          <w:rFonts w:ascii="Cambria" w:hAnsi="Cambria" w:cs="Times"/>
          <w:color w:val="4F81BD" w:themeColor="accent1"/>
        </w:rPr>
      </w:pPr>
      <w:r w:rsidRPr="00715400">
        <w:rPr>
          <w:rFonts w:ascii="Cambria" w:hAnsi="Cambria" w:cs="Times"/>
          <w:color w:val="4F81BD" w:themeColor="accent1"/>
        </w:rPr>
        <w:t xml:space="preserve">Les modalités de désignation des assesseurs sont prévues à l’article L143-5, tel que modifié par la loi du 17 janvier 2002, du même code, qui dispose qu’ils « </w:t>
      </w:r>
      <w:r w:rsidRPr="00715400">
        <w:rPr>
          <w:rFonts w:ascii="Cambria" w:hAnsi="Cambria" w:cs="Times"/>
          <w:i/>
          <w:iCs/>
          <w:color w:val="4F81BD" w:themeColor="accent1"/>
        </w:rPr>
        <w:t xml:space="preserve">sont nommés pour trois ans renouvelables par arrêté du garde des sceaux, ministre de la justice, sur une liste dressée par le premier président de la Cour de cassation sur proposition des organisations professionnelles les plus représentatives intéressées </w:t>
      </w:r>
      <w:r w:rsidRPr="00715400">
        <w:rPr>
          <w:rFonts w:ascii="Cambria" w:hAnsi="Cambria" w:cs="Times"/>
          <w:color w:val="4F81BD" w:themeColor="accent1"/>
        </w:rPr>
        <w:t>».</w:t>
      </w:r>
    </w:p>
    <w:p w14:paraId="6939F347" w14:textId="77777777" w:rsidR="00715400" w:rsidRPr="00715400" w:rsidRDefault="00715400" w:rsidP="00715400">
      <w:pPr>
        <w:widowControl w:val="0"/>
        <w:autoSpaceDE w:val="0"/>
        <w:autoSpaceDN w:val="0"/>
        <w:adjustRightInd w:val="0"/>
        <w:jc w:val="both"/>
        <w:rPr>
          <w:rFonts w:ascii="Cambria" w:hAnsi="Cambria" w:cs="Times"/>
          <w:color w:val="4F81BD" w:themeColor="accent1"/>
        </w:rPr>
      </w:pPr>
    </w:p>
    <w:p w14:paraId="1017E953" w14:textId="79C55A54" w:rsidR="00863778" w:rsidRDefault="00715400" w:rsidP="00715400">
      <w:pPr>
        <w:widowControl w:val="0"/>
        <w:autoSpaceDE w:val="0"/>
        <w:autoSpaceDN w:val="0"/>
        <w:adjustRightInd w:val="0"/>
        <w:jc w:val="both"/>
        <w:rPr>
          <w:rFonts w:ascii="Cambria" w:hAnsi="Cambria" w:cs="Times"/>
          <w:color w:val="4F81BD" w:themeColor="accent1"/>
        </w:rPr>
      </w:pPr>
      <w:r w:rsidRPr="00715400">
        <w:rPr>
          <w:rFonts w:ascii="Cambria" w:hAnsi="Cambria" w:cs="Times"/>
          <w:color w:val="4F81BD" w:themeColor="accent1"/>
        </w:rPr>
        <w:t>En quelques mots, les problèmes qui avaient été soulevés par la Cour de cassation ont disparu. On ne trouve plus ni fonctionnaires ni médecins au sein de cette juridiction. De plus, le mode de désignation et la durée du mandat des membres de la CNITAT offrent aujourd'hui des garanties certaines.</w:t>
      </w:r>
      <w:r w:rsidR="00B65DBE">
        <w:rPr>
          <w:rFonts w:ascii="Cambria" w:hAnsi="Cambria" w:cs="Times"/>
          <w:color w:val="4F81BD" w:themeColor="accent1"/>
        </w:rPr>
        <w:t xml:space="preserve"> </w:t>
      </w:r>
    </w:p>
    <w:p w14:paraId="70B534FC" w14:textId="77777777" w:rsidR="00F044B7" w:rsidRDefault="00F044B7" w:rsidP="00715400">
      <w:pPr>
        <w:widowControl w:val="0"/>
        <w:autoSpaceDE w:val="0"/>
        <w:autoSpaceDN w:val="0"/>
        <w:adjustRightInd w:val="0"/>
        <w:jc w:val="both"/>
        <w:rPr>
          <w:rFonts w:ascii="Cambria" w:hAnsi="Cambria" w:cs="Times"/>
          <w:color w:val="4F81BD" w:themeColor="accent1"/>
        </w:rPr>
      </w:pPr>
    </w:p>
    <w:p w14:paraId="72BEA80C" w14:textId="2ADB9321" w:rsidR="00F044B7" w:rsidRDefault="00F044B7" w:rsidP="00715400">
      <w:pPr>
        <w:widowControl w:val="0"/>
        <w:autoSpaceDE w:val="0"/>
        <w:autoSpaceDN w:val="0"/>
        <w:adjustRightInd w:val="0"/>
        <w:jc w:val="both"/>
        <w:rPr>
          <w:rFonts w:ascii="Cambria" w:hAnsi="Cambria" w:cs="Times"/>
        </w:rPr>
      </w:pPr>
      <w:r w:rsidRPr="008E0B14">
        <w:rPr>
          <w:rFonts w:ascii="Cambria" w:hAnsi="Cambria" w:cs="Times"/>
        </w:rPr>
        <w:t xml:space="preserve">2/ </w:t>
      </w:r>
      <w:r w:rsidR="00D320EB">
        <w:rPr>
          <w:rFonts w:ascii="Cambria" w:hAnsi="Cambria" w:cs="Times"/>
        </w:rPr>
        <w:t xml:space="preserve">Une réforme du contentieux de la Sécurité sociale par le décret d’application de la </w:t>
      </w:r>
      <w:r w:rsidR="00FD57F0">
        <w:rPr>
          <w:rFonts w:ascii="Cambria" w:hAnsi="Cambria" w:cs="Times"/>
        </w:rPr>
        <w:t>loi de modernisation sociale</w:t>
      </w:r>
      <w:r w:rsidR="002D7CB8">
        <w:rPr>
          <w:rFonts w:ascii="Cambria" w:hAnsi="Cambria" w:cs="Times"/>
        </w:rPr>
        <w:t xml:space="preserve"> du 3 juillet 2003. </w:t>
      </w:r>
    </w:p>
    <w:p w14:paraId="20EBD2E3" w14:textId="77777777" w:rsidR="00D43D26" w:rsidRDefault="00D43D26" w:rsidP="00715400">
      <w:pPr>
        <w:widowControl w:val="0"/>
        <w:autoSpaceDE w:val="0"/>
        <w:autoSpaceDN w:val="0"/>
        <w:adjustRightInd w:val="0"/>
        <w:jc w:val="both"/>
        <w:rPr>
          <w:rFonts w:ascii="Cambria" w:hAnsi="Cambria" w:cs="Times"/>
        </w:rPr>
      </w:pPr>
    </w:p>
    <w:p w14:paraId="724A32EE" w14:textId="0A4970F4"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Ce décret d'application donne tout</w:t>
      </w:r>
      <w:r w:rsidR="00AE0EE0">
        <w:rPr>
          <w:rFonts w:ascii="Cambria" w:hAnsi="Cambria" w:cs="Times"/>
          <w:color w:val="4F81BD" w:themeColor="accent1"/>
        </w:rPr>
        <w:t>e</w:t>
      </w:r>
      <w:r w:rsidRPr="0029124E">
        <w:rPr>
          <w:rFonts w:ascii="Cambria" w:hAnsi="Cambria" w:cs="Times"/>
          <w:color w:val="4F81BD" w:themeColor="accent1"/>
        </w:rPr>
        <w:t xml:space="preserve"> son ampleur à cette réforme des instances du contentieux technique de la </w:t>
      </w:r>
      <w:r w:rsidR="00AE0EE0">
        <w:rPr>
          <w:rFonts w:ascii="Cambria" w:hAnsi="Cambria" w:cs="Times"/>
          <w:color w:val="4F81BD" w:themeColor="accent1"/>
        </w:rPr>
        <w:t>S</w:t>
      </w:r>
      <w:r w:rsidRPr="0029124E">
        <w:rPr>
          <w:rFonts w:ascii="Cambria" w:hAnsi="Cambria" w:cs="Times"/>
          <w:color w:val="4F81BD" w:themeColor="accent1"/>
        </w:rPr>
        <w:t xml:space="preserve">écurité sociale. </w:t>
      </w:r>
    </w:p>
    <w:p w14:paraId="3E7EFFF5" w14:textId="77777777" w:rsidR="00AE0EE0" w:rsidRDefault="00AE0EE0" w:rsidP="0029124E">
      <w:pPr>
        <w:widowControl w:val="0"/>
        <w:autoSpaceDE w:val="0"/>
        <w:autoSpaceDN w:val="0"/>
        <w:adjustRightInd w:val="0"/>
        <w:jc w:val="both"/>
        <w:rPr>
          <w:rFonts w:ascii="Cambria" w:hAnsi="Cambria" w:cs="Times"/>
          <w:color w:val="4F81BD" w:themeColor="accent1"/>
        </w:rPr>
      </w:pPr>
    </w:p>
    <w:p w14:paraId="2390C155" w14:textId="38343DE5"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Tout d'abord, ce décret harm</w:t>
      </w:r>
      <w:r w:rsidR="00323436">
        <w:rPr>
          <w:rFonts w:ascii="Cambria" w:hAnsi="Cambria" w:cs="Times"/>
          <w:color w:val="4F81BD" w:themeColor="accent1"/>
        </w:rPr>
        <w:t>onise les parties réglementaire</w:t>
      </w:r>
      <w:r w:rsidRPr="0029124E">
        <w:rPr>
          <w:rFonts w:ascii="Cambria" w:hAnsi="Cambria" w:cs="Times"/>
          <w:color w:val="4F81BD" w:themeColor="accent1"/>
        </w:rPr>
        <w:t xml:space="preserve"> et législative du Code de la Sécurité sociale en la matière. Il met en effet en conformité la composition des juridictions du contentieux technique aux exigences conventionnelles. Pour cel</w:t>
      </w:r>
      <w:r w:rsidR="007E15EE">
        <w:rPr>
          <w:rFonts w:ascii="Cambria" w:hAnsi="Cambria" w:cs="Times"/>
          <w:color w:val="4F81BD" w:themeColor="accent1"/>
        </w:rPr>
        <w:t>a, il a remplacé les articles R143-4 et R</w:t>
      </w:r>
      <w:r w:rsidRPr="0029124E">
        <w:rPr>
          <w:rFonts w:ascii="Cambria" w:hAnsi="Cambria" w:cs="Times"/>
          <w:color w:val="4F81BD" w:themeColor="accent1"/>
        </w:rPr>
        <w:t>143-15</w:t>
      </w:r>
      <w:r w:rsidR="007E15EE">
        <w:rPr>
          <w:rFonts w:ascii="Cambria" w:hAnsi="Cambria" w:cs="Times"/>
          <w:color w:val="4F81BD" w:themeColor="accent1"/>
        </w:rPr>
        <w:t>,</w:t>
      </w:r>
      <w:r w:rsidRPr="0029124E">
        <w:rPr>
          <w:rFonts w:ascii="Cambria" w:hAnsi="Cambria" w:cs="Times"/>
          <w:color w:val="4F81BD" w:themeColor="accent1"/>
        </w:rPr>
        <w:t xml:space="preserve"> qui précisaient la composition de ces juridictions. Grace à ce changement, plus aucune disposition législative ou réglementaire ne prévoit la présence de fonctionnaires parmi les membres de ces juridictions. </w:t>
      </w:r>
    </w:p>
    <w:p w14:paraId="113B99AD" w14:textId="77777777" w:rsidR="007A4AC7" w:rsidRDefault="007A4AC7" w:rsidP="0029124E">
      <w:pPr>
        <w:widowControl w:val="0"/>
        <w:autoSpaceDE w:val="0"/>
        <w:autoSpaceDN w:val="0"/>
        <w:adjustRightInd w:val="0"/>
        <w:jc w:val="both"/>
        <w:rPr>
          <w:rFonts w:ascii="Cambria" w:hAnsi="Cambria" w:cs="Times"/>
          <w:color w:val="4F81BD" w:themeColor="accent1"/>
        </w:rPr>
      </w:pPr>
    </w:p>
    <w:p w14:paraId="4B630CDB" w14:textId="77777777" w:rsidR="000F37B8" w:rsidRDefault="007A4AC7" w:rsidP="0029124E">
      <w:pPr>
        <w:widowControl w:val="0"/>
        <w:autoSpaceDE w:val="0"/>
        <w:autoSpaceDN w:val="0"/>
        <w:adjustRightInd w:val="0"/>
        <w:jc w:val="both"/>
        <w:rPr>
          <w:rFonts w:ascii="Cambria" w:hAnsi="Cambria" w:cs="Times"/>
          <w:color w:val="4F81BD" w:themeColor="accent1"/>
        </w:rPr>
      </w:pPr>
      <w:r>
        <w:rPr>
          <w:rFonts w:ascii="Cambria" w:hAnsi="Cambria" w:cs="Times"/>
          <w:color w:val="4F81BD" w:themeColor="accent1"/>
        </w:rPr>
        <w:t>De plus, ce dé</w:t>
      </w:r>
      <w:r w:rsidR="0029124E" w:rsidRPr="0029124E">
        <w:rPr>
          <w:rFonts w:ascii="Cambria" w:hAnsi="Cambria" w:cs="Times"/>
          <w:color w:val="4F81BD" w:themeColor="accent1"/>
        </w:rPr>
        <w:t xml:space="preserve">cret a pris d'autres dispositions relatives à l'organisation et au fonctionnement des juridictions du contentieux technique visant à en faire de véritables tribunaux impartiaux et indépendants. Pour ce faire, il prévoit que les présidents des </w:t>
      </w:r>
      <w:r w:rsidR="00C8651B">
        <w:rPr>
          <w:rFonts w:ascii="Cambria" w:hAnsi="Cambria" w:cs="Times"/>
          <w:color w:val="4F81BD" w:themeColor="accent1"/>
        </w:rPr>
        <w:t xml:space="preserve">TCI </w:t>
      </w:r>
      <w:r w:rsidR="0029124E" w:rsidRPr="0029124E">
        <w:rPr>
          <w:rFonts w:ascii="Cambria" w:hAnsi="Cambria" w:cs="Times"/>
          <w:color w:val="4F81BD" w:themeColor="accent1"/>
        </w:rPr>
        <w:t>qui ne sont pas des magistrats honoraires, les assesseurs titulaires et suppléants qui n'ont pas encore exercé de fonctions judiciaires</w:t>
      </w:r>
      <w:r w:rsidR="004520E0">
        <w:rPr>
          <w:rFonts w:ascii="Cambria" w:hAnsi="Cambria" w:cs="Times"/>
          <w:color w:val="4F81BD" w:themeColor="accent1"/>
        </w:rPr>
        <w:t>,</w:t>
      </w:r>
      <w:r w:rsidR="0029124E" w:rsidRPr="0029124E">
        <w:rPr>
          <w:rFonts w:ascii="Cambria" w:hAnsi="Cambria" w:cs="Times"/>
          <w:color w:val="4F81BD" w:themeColor="accent1"/>
        </w:rPr>
        <w:t xml:space="preserve"> doivent prêter individuellement le serment suivant devant la Cour d'appel</w:t>
      </w:r>
      <w:r w:rsidR="00EE7A45">
        <w:rPr>
          <w:rFonts w:ascii="Cambria" w:hAnsi="Cambria" w:cs="Times"/>
          <w:color w:val="4F81BD" w:themeColor="accent1"/>
        </w:rPr>
        <w:t xml:space="preserve"> : </w:t>
      </w:r>
      <w:r w:rsidR="0029124E" w:rsidRPr="0029124E">
        <w:rPr>
          <w:rFonts w:ascii="Cambria" w:hAnsi="Cambria" w:cs="Times"/>
          <w:color w:val="4F81BD" w:themeColor="accent1"/>
        </w:rPr>
        <w:t>« </w:t>
      </w:r>
      <w:r w:rsidR="00EE7A45" w:rsidRPr="00EE7A45">
        <w:rPr>
          <w:rFonts w:ascii="Cambria" w:hAnsi="Cambria" w:cs="Times"/>
          <w:i/>
          <w:color w:val="4F81BD" w:themeColor="accent1"/>
        </w:rPr>
        <w:t>J</w:t>
      </w:r>
      <w:r w:rsidR="0029124E" w:rsidRPr="00EE7A45">
        <w:rPr>
          <w:rFonts w:ascii="Cambria" w:hAnsi="Cambria" w:cs="Times"/>
          <w:i/>
          <w:color w:val="4F81BD" w:themeColor="accent1"/>
        </w:rPr>
        <w:t>e jure de remplir mes devoirs avec zèle et intégrité et de garder le secret des délibérations</w:t>
      </w:r>
      <w:r w:rsidR="0029124E" w:rsidRPr="0029124E">
        <w:rPr>
          <w:rFonts w:ascii="Cambria" w:hAnsi="Cambria" w:cs="Times"/>
          <w:color w:val="4F81BD" w:themeColor="accent1"/>
        </w:rPr>
        <w:t xml:space="preserve"> ». </w:t>
      </w:r>
    </w:p>
    <w:p w14:paraId="0355B0E0" w14:textId="31F0FB8F"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Il en est de même pour les assesseurs siégeant dans l</w:t>
      </w:r>
      <w:r w:rsidR="000F37B8">
        <w:rPr>
          <w:rFonts w:ascii="Cambria" w:hAnsi="Cambria" w:cs="Times"/>
          <w:color w:val="4F81BD" w:themeColor="accent1"/>
        </w:rPr>
        <w:t>a</w:t>
      </w:r>
      <w:r w:rsidRPr="0029124E">
        <w:rPr>
          <w:rFonts w:ascii="Cambria" w:hAnsi="Cambria" w:cs="Times"/>
          <w:color w:val="4F81BD" w:themeColor="accent1"/>
        </w:rPr>
        <w:t xml:space="preserve"> CNITA</w:t>
      </w:r>
      <w:r w:rsidR="000F37B8">
        <w:rPr>
          <w:rFonts w:ascii="Cambria" w:hAnsi="Cambria" w:cs="Times"/>
          <w:color w:val="4F81BD" w:themeColor="accent1"/>
        </w:rPr>
        <w:t>T</w:t>
      </w:r>
      <w:r w:rsidRPr="0029124E">
        <w:rPr>
          <w:rFonts w:ascii="Cambria" w:hAnsi="Cambria" w:cs="Times"/>
          <w:color w:val="4F81BD" w:themeColor="accent1"/>
        </w:rPr>
        <w:t xml:space="preserve">. </w:t>
      </w:r>
    </w:p>
    <w:p w14:paraId="04EF7A2A" w14:textId="77777777" w:rsidR="000F37B8" w:rsidRDefault="000F37B8" w:rsidP="0029124E">
      <w:pPr>
        <w:widowControl w:val="0"/>
        <w:autoSpaceDE w:val="0"/>
        <w:autoSpaceDN w:val="0"/>
        <w:adjustRightInd w:val="0"/>
        <w:jc w:val="both"/>
        <w:rPr>
          <w:rFonts w:ascii="Cambria" w:hAnsi="Cambria" w:cs="Times"/>
          <w:color w:val="4F81BD" w:themeColor="accent1"/>
        </w:rPr>
      </w:pPr>
    </w:p>
    <w:p w14:paraId="096F306F" w14:textId="15B1EAB1"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Par ailleurs, les diffé</w:t>
      </w:r>
      <w:r w:rsidR="008F592A">
        <w:rPr>
          <w:rFonts w:ascii="Cambria" w:hAnsi="Cambria" w:cs="Times"/>
          <w:color w:val="4F81BD" w:themeColor="accent1"/>
        </w:rPr>
        <w:t>rents secrétaires des TCI et de la</w:t>
      </w:r>
      <w:r w:rsidRPr="0029124E">
        <w:rPr>
          <w:rFonts w:ascii="Cambria" w:hAnsi="Cambria" w:cs="Times"/>
          <w:color w:val="4F81BD" w:themeColor="accent1"/>
        </w:rPr>
        <w:t xml:space="preserve"> CNITAT sont placés</w:t>
      </w:r>
      <w:r w:rsidR="008F592A">
        <w:rPr>
          <w:rFonts w:ascii="Cambria" w:hAnsi="Cambria" w:cs="Times"/>
          <w:color w:val="4F81BD" w:themeColor="accent1"/>
        </w:rPr>
        <w:t>,</w:t>
      </w:r>
      <w:r w:rsidRPr="0029124E">
        <w:rPr>
          <w:rFonts w:ascii="Cambria" w:hAnsi="Cambria" w:cs="Times"/>
          <w:color w:val="4F81BD" w:themeColor="accent1"/>
        </w:rPr>
        <w:t xml:space="preserve"> pour l'exercice de leur</w:t>
      </w:r>
      <w:r w:rsidR="008F592A">
        <w:rPr>
          <w:rFonts w:ascii="Cambria" w:hAnsi="Cambria" w:cs="Times"/>
          <w:color w:val="4F81BD" w:themeColor="accent1"/>
        </w:rPr>
        <w:t>s</w:t>
      </w:r>
      <w:r w:rsidRPr="0029124E">
        <w:rPr>
          <w:rFonts w:ascii="Cambria" w:hAnsi="Cambria" w:cs="Times"/>
          <w:color w:val="4F81BD" w:themeColor="accent1"/>
        </w:rPr>
        <w:t xml:space="preserve"> fonctions</w:t>
      </w:r>
      <w:r w:rsidR="008F592A">
        <w:rPr>
          <w:rFonts w:ascii="Cambria" w:hAnsi="Cambria" w:cs="Times"/>
          <w:color w:val="4F81BD" w:themeColor="accent1"/>
        </w:rPr>
        <w:t>,</w:t>
      </w:r>
      <w:r w:rsidRPr="0029124E">
        <w:rPr>
          <w:rFonts w:ascii="Cambria" w:hAnsi="Cambria" w:cs="Times"/>
          <w:color w:val="4F81BD" w:themeColor="accent1"/>
        </w:rPr>
        <w:t xml:space="preserve"> dans la juridiction sous l'autorité exclusive du président. De cet</w:t>
      </w:r>
      <w:r w:rsidR="004C3A53">
        <w:rPr>
          <w:rFonts w:ascii="Cambria" w:hAnsi="Cambria" w:cs="Times"/>
          <w:color w:val="4F81BD" w:themeColor="accent1"/>
        </w:rPr>
        <w:t>te</w:t>
      </w:r>
      <w:r w:rsidRPr="0029124E">
        <w:rPr>
          <w:rFonts w:ascii="Cambria" w:hAnsi="Cambria" w:cs="Times"/>
          <w:color w:val="4F81BD" w:themeColor="accent1"/>
        </w:rPr>
        <w:t xml:space="preserve"> manière</w:t>
      </w:r>
      <w:r w:rsidR="004C3A53">
        <w:rPr>
          <w:rFonts w:ascii="Cambria" w:hAnsi="Cambria" w:cs="Times"/>
          <w:color w:val="4F81BD" w:themeColor="accent1"/>
        </w:rPr>
        <w:t>,</w:t>
      </w:r>
      <w:r w:rsidRPr="0029124E">
        <w:rPr>
          <w:rFonts w:ascii="Cambria" w:hAnsi="Cambria" w:cs="Times"/>
          <w:color w:val="4F81BD" w:themeColor="accent1"/>
        </w:rPr>
        <w:t xml:space="preserve"> le pouvoir exécutif</w:t>
      </w:r>
      <w:r w:rsidR="004C3A53">
        <w:rPr>
          <w:rFonts w:ascii="Cambria" w:hAnsi="Cambria" w:cs="Times"/>
          <w:color w:val="4F81BD" w:themeColor="accent1"/>
        </w:rPr>
        <w:t>,</w:t>
      </w:r>
      <w:r w:rsidRPr="0029124E">
        <w:rPr>
          <w:rFonts w:ascii="Cambria" w:hAnsi="Cambria" w:cs="Times"/>
          <w:color w:val="4F81BD" w:themeColor="accent1"/>
        </w:rPr>
        <w:t xml:space="preserve"> en adoptant ce décret</w:t>
      </w:r>
      <w:r w:rsidR="004C3A53">
        <w:rPr>
          <w:rFonts w:ascii="Cambria" w:hAnsi="Cambria" w:cs="Times"/>
          <w:color w:val="4F81BD" w:themeColor="accent1"/>
        </w:rPr>
        <w:t xml:space="preserve"> d’application,</w:t>
      </w:r>
      <w:r w:rsidRPr="0029124E">
        <w:rPr>
          <w:rFonts w:ascii="Cambria" w:hAnsi="Cambria" w:cs="Times"/>
          <w:color w:val="4F81BD" w:themeColor="accent1"/>
        </w:rPr>
        <w:t xml:space="preserve"> prend en compte les exigences européennes relatives à l'apparence d'indépendance des juridictions. </w:t>
      </w:r>
    </w:p>
    <w:p w14:paraId="6BACB208" w14:textId="77777777" w:rsidR="00F07357" w:rsidRDefault="00F07357" w:rsidP="0029124E">
      <w:pPr>
        <w:widowControl w:val="0"/>
        <w:autoSpaceDE w:val="0"/>
        <w:autoSpaceDN w:val="0"/>
        <w:adjustRightInd w:val="0"/>
        <w:jc w:val="both"/>
        <w:rPr>
          <w:rFonts w:ascii="Cambria" w:hAnsi="Cambria" w:cs="Times"/>
          <w:color w:val="4F81BD" w:themeColor="accent1"/>
        </w:rPr>
      </w:pPr>
    </w:p>
    <w:p w14:paraId="09A1C880" w14:textId="4BF14CBE"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Le décret</w:t>
      </w:r>
      <w:r w:rsidR="00F07357">
        <w:rPr>
          <w:rFonts w:ascii="Cambria" w:hAnsi="Cambria" w:cs="Times"/>
          <w:color w:val="4F81BD" w:themeColor="accent1"/>
        </w:rPr>
        <w:t>,</w:t>
      </w:r>
      <w:r w:rsidRPr="0029124E">
        <w:rPr>
          <w:rFonts w:ascii="Cambria" w:hAnsi="Cambria" w:cs="Times"/>
          <w:color w:val="4F81BD" w:themeColor="accent1"/>
        </w:rPr>
        <w:t xml:space="preserve"> dans ses articles 2 et 4</w:t>
      </w:r>
      <w:r w:rsidR="00F07357">
        <w:rPr>
          <w:rFonts w:ascii="Cambria" w:hAnsi="Cambria" w:cs="Times"/>
          <w:color w:val="4F81BD" w:themeColor="accent1"/>
        </w:rPr>
        <w:t xml:space="preserve">, </w:t>
      </w:r>
      <w:r w:rsidRPr="0029124E">
        <w:rPr>
          <w:rFonts w:ascii="Cambria" w:hAnsi="Cambria" w:cs="Times"/>
          <w:color w:val="4F81BD" w:themeColor="accent1"/>
        </w:rPr>
        <w:t>prend aussi en considération la procédure à suivre respectivement devant les TCI et l</w:t>
      </w:r>
      <w:r w:rsidR="00025E9E">
        <w:rPr>
          <w:rFonts w:ascii="Cambria" w:hAnsi="Cambria" w:cs="Times"/>
          <w:color w:val="4F81BD" w:themeColor="accent1"/>
        </w:rPr>
        <w:t>a</w:t>
      </w:r>
      <w:r w:rsidRPr="0029124E">
        <w:rPr>
          <w:rFonts w:ascii="Cambria" w:hAnsi="Cambria" w:cs="Times"/>
          <w:color w:val="4F81BD" w:themeColor="accent1"/>
        </w:rPr>
        <w:t xml:space="preserve"> CNITAT. Les anciennes dispositions ont donc étaient remplacées par de nouvelles</w:t>
      </w:r>
      <w:r w:rsidR="00C04F9D">
        <w:rPr>
          <w:rFonts w:ascii="Cambria" w:hAnsi="Cambria" w:cs="Times"/>
          <w:color w:val="4F81BD" w:themeColor="accent1"/>
        </w:rPr>
        <w:t>,</w:t>
      </w:r>
      <w:r w:rsidRPr="0029124E">
        <w:rPr>
          <w:rFonts w:ascii="Cambria" w:hAnsi="Cambria" w:cs="Times"/>
          <w:color w:val="4F81BD" w:themeColor="accent1"/>
        </w:rPr>
        <w:t xml:space="preserve"> visant notamment à organiser la convocation des parties à l'audience ainsi que le contradictoire en vue de garantir l'équité du procès. </w:t>
      </w:r>
    </w:p>
    <w:p w14:paraId="78B7C988" w14:textId="77777777" w:rsidR="00237F03"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Pour ce qui est de la conv</w:t>
      </w:r>
      <w:r w:rsidR="003C619A">
        <w:rPr>
          <w:rFonts w:ascii="Cambria" w:hAnsi="Cambria" w:cs="Times"/>
          <w:color w:val="4F81BD" w:themeColor="accent1"/>
        </w:rPr>
        <w:t>ocation des parties le nouvel article R</w:t>
      </w:r>
      <w:r w:rsidRPr="0029124E">
        <w:rPr>
          <w:rFonts w:ascii="Cambria" w:hAnsi="Cambria" w:cs="Times"/>
          <w:color w:val="4F81BD" w:themeColor="accent1"/>
        </w:rPr>
        <w:t>143-9 prévoit que le secrétaire du tribunal doit convoquer les parties « </w:t>
      </w:r>
      <w:r w:rsidRPr="0029124E">
        <w:rPr>
          <w:rFonts w:ascii="Cambria" w:hAnsi="Cambria" w:cs="Times"/>
          <w:i/>
          <w:iCs/>
          <w:color w:val="4F81BD" w:themeColor="accent1"/>
        </w:rPr>
        <w:t xml:space="preserve">par lettre recommandée avec demande d'avis de réception ou par la remise de l'acte au destinataire contre émargement ou récépissé, quinze </w:t>
      </w:r>
      <w:r w:rsidR="00237F03">
        <w:rPr>
          <w:rFonts w:ascii="Cambria" w:hAnsi="Cambria" w:cs="Times"/>
          <w:i/>
          <w:iCs/>
          <w:color w:val="4F81BD" w:themeColor="accent1"/>
        </w:rPr>
        <w:t xml:space="preserve">jours au moins avant la date de </w:t>
      </w:r>
      <w:r w:rsidRPr="0029124E">
        <w:rPr>
          <w:rFonts w:ascii="Cambria" w:hAnsi="Cambria" w:cs="Times"/>
          <w:i/>
          <w:iCs/>
          <w:color w:val="4F81BD" w:themeColor="accent1"/>
        </w:rPr>
        <w:t>l'audience </w:t>
      </w:r>
      <w:r w:rsidRPr="0029124E">
        <w:rPr>
          <w:rFonts w:ascii="Cambria" w:hAnsi="Cambria" w:cs="Times"/>
          <w:color w:val="4F81BD" w:themeColor="accent1"/>
        </w:rPr>
        <w:t xml:space="preserve">». </w:t>
      </w:r>
    </w:p>
    <w:p w14:paraId="1E95967E" w14:textId="3DBB693B"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 xml:space="preserve">Un formalisme plus rigoureux a donc été mis en place. Cela se témoigne aussi par la suppression de la disposition selon laquelle le tribunal peut statuer sur pièce lorsque figurent au dossier des constatations médicales suffisantes. </w:t>
      </w:r>
    </w:p>
    <w:p w14:paraId="6BBB17E4" w14:textId="77777777" w:rsidR="0029124E" w:rsidRPr="0029124E" w:rsidRDefault="0029124E" w:rsidP="0029124E">
      <w:pPr>
        <w:widowControl w:val="0"/>
        <w:autoSpaceDE w:val="0"/>
        <w:autoSpaceDN w:val="0"/>
        <w:adjustRightInd w:val="0"/>
        <w:jc w:val="both"/>
        <w:rPr>
          <w:rFonts w:ascii="Cambria" w:hAnsi="Cambria" w:cs="Times"/>
          <w:color w:val="4F81BD" w:themeColor="accent1"/>
        </w:rPr>
      </w:pPr>
    </w:p>
    <w:p w14:paraId="039087E8" w14:textId="7A76F923"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La Cour de cassation avait aussi mis l'a</w:t>
      </w:r>
      <w:r w:rsidR="00B17078">
        <w:rPr>
          <w:rFonts w:ascii="Cambria" w:hAnsi="Cambria" w:cs="Times"/>
          <w:color w:val="4F81BD" w:themeColor="accent1"/>
        </w:rPr>
        <w:t>ccent sur le fait qu'au sein de la</w:t>
      </w:r>
      <w:r w:rsidRPr="0029124E">
        <w:rPr>
          <w:rFonts w:ascii="Cambria" w:hAnsi="Cambria" w:cs="Times"/>
          <w:color w:val="4F81BD" w:themeColor="accent1"/>
        </w:rPr>
        <w:t xml:space="preserve"> CNITAT</w:t>
      </w:r>
      <w:r w:rsidR="00B17078">
        <w:rPr>
          <w:rFonts w:ascii="Cambria" w:hAnsi="Cambria" w:cs="Times"/>
          <w:color w:val="4F81BD" w:themeColor="accent1"/>
        </w:rPr>
        <w:t>,</w:t>
      </w:r>
      <w:r w:rsidRPr="0029124E">
        <w:rPr>
          <w:rFonts w:ascii="Cambria" w:hAnsi="Cambria" w:cs="Times"/>
          <w:color w:val="4F81BD" w:themeColor="accent1"/>
        </w:rPr>
        <w:t xml:space="preserve"> l'organisation des débats ne permettait pas à l'appelant de faire valoir publiquement ses prétentions. Ainsi</w:t>
      </w:r>
      <w:r w:rsidR="007B44BC">
        <w:rPr>
          <w:rFonts w:ascii="Cambria" w:hAnsi="Cambria" w:cs="Times"/>
          <w:color w:val="4F81BD" w:themeColor="accent1"/>
        </w:rPr>
        <w:t>,</w:t>
      </w:r>
      <w:r w:rsidRPr="0029124E">
        <w:rPr>
          <w:rFonts w:ascii="Cambria" w:hAnsi="Cambria" w:cs="Times"/>
          <w:color w:val="4F81BD" w:themeColor="accent1"/>
        </w:rPr>
        <w:t xml:space="preserve"> le décret a aussi voulu assurer la publicité de la procédure suivie devant la CNITAT</w:t>
      </w:r>
      <w:r w:rsidR="00DD0D9C">
        <w:rPr>
          <w:rFonts w:ascii="Cambria" w:hAnsi="Cambria" w:cs="Times"/>
          <w:color w:val="4F81BD" w:themeColor="accent1"/>
        </w:rPr>
        <w:t>,</w:t>
      </w:r>
      <w:r w:rsidRPr="0029124E">
        <w:rPr>
          <w:rFonts w:ascii="Cambria" w:hAnsi="Cambria" w:cs="Times"/>
          <w:color w:val="4F81BD" w:themeColor="accent1"/>
        </w:rPr>
        <w:t xml:space="preserve"> d'une part en supprimant la disposition du Code de la Sécurité sociale selon laquelle la Cour nationale statut uniquement sur pièces, et en prévoyant que les parties doivent être «</w:t>
      </w:r>
      <w:r w:rsidRPr="0029124E">
        <w:rPr>
          <w:rFonts w:ascii="Cambria" w:hAnsi="Cambria" w:cs="Times"/>
          <w:i/>
          <w:iCs/>
          <w:color w:val="4F81BD" w:themeColor="accent1"/>
        </w:rPr>
        <w:t> informées de la date de l'audience et de la possibilité qu'elles ont d'y présenter des observations orales</w:t>
      </w:r>
      <w:r w:rsidRPr="0029124E">
        <w:rPr>
          <w:rFonts w:ascii="Cambria" w:hAnsi="Cambria" w:cs="Times"/>
          <w:color w:val="4F81BD" w:themeColor="accent1"/>
        </w:rPr>
        <w:t> » par lettre recommandée avec demande d'avis de r</w:t>
      </w:r>
      <w:r w:rsidR="00DD0D9C">
        <w:rPr>
          <w:rFonts w:ascii="Cambria" w:hAnsi="Cambria" w:cs="Times"/>
          <w:color w:val="4F81BD" w:themeColor="accent1"/>
        </w:rPr>
        <w:t>é</w:t>
      </w:r>
      <w:r w:rsidRPr="0029124E">
        <w:rPr>
          <w:rFonts w:ascii="Cambria" w:hAnsi="Cambria" w:cs="Times"/>
          <w:color w:val="4F81BD" w:themeColor="accent1"/>
        </w:rPr>
        <w:t xml:space="preserve">ception quinze jours au moins avant la date de l'audience. </w:t>
      </w:r>
    </w:p>
    <w:p w14:paraId="5ABA8F58" w14:textId="77777777" w:rsidR="0029124E" w:rsidRPr="0029124E" w:rsidRDefault="0029124E" w:rsidP="0029124E">
      <w:pPr>
        <w:widowControl w:val="0"/>
        <w:autoSpaceDE w:val="0"/>
        <w:autoSpaceDN w:val="0"/>
        <w:adjustRightInd w:val="0"/>
        <w:jc w:val="both"/>
        <w:rPr>
          <w:rFonts w:ascii="Cambria" w:hAnsi="Cambria" w:cs="Times"/>
          <w:color w:val="4F81BD" w:themeColor="accent1"/>
        </w:rPr>
      </w:pPr>
      <w:r w:rsidRPr="0029124E">
        <w:rPr>
          <w:rFonts w:ascii="Cambria" w:hAnsi="Cambria" w:cs="Times"/>
          <w:color w:val="4F81BD" w:themeColor="accent1"/>
        </w:rPr>
        <w:t xml:space="preserve">D'une manière générale, les nouvelles dispositions participent également au respect du caractère contradictoire de la procédure. Par exemple, les parties peuvent présenter des observations orales le jour de l'audience. </w:t>
      </w:r>
    </w:p>
    <w:p w14:paraId="421A086C" w14:textId="77777777" w:rsidR="0029124E" w:rsidRPr="0029124E" w:rsidRDefault="0029124E" w:rsidP="0029124E">
      <w:pPr>
        <w:widowControl w:val="0"/>
        <w:autoSpaceDE w:val="0"/>
        <w:autoSpaceDN w:val="0"/>
        <w:adjustRightInd w:val="0"/>
        <w:jc w:val="both"/>
        <w:rPr>
          <w:rFonts w:ascii="Cambria" w:hAnsi="Cambria" w:cs="Times"/>
          <w:color w:val="4F81BD" w:themeColor="accent1"/>
        </w:rPr>
      </w:pPr>
    </w:p>
    <w:p w14:paraId="1206119B" w14:textId="5178E138" w:rsidR="00D43D26" w:rsidRDefault="007A68FA" w:rsidP="00715400">
      <w:pPr>
        <w:widowControl w:val="0"/>
        <w:autoSpaceDE w:val="0"/>
        <w:autoSpaceDN w:val="0"/>
        <w:adjustRightInd w:val="0"/>
        <w:jc w:val="both"/>
        <w:rPr>
          <w:rFonts w:ascii="Cambria" w:hAnsi="Cambria" w:cs="Times"/>
          <w:color w:val="4F81BD" w:themeColor="accent1"/>
        </w:rPr>
      </w:pPr>
      <w:r>
        <w:rPr>
          <w:rFonts w:ascii="Cambria" w:hAnsi="Cambria" w:cs="Times"/>
          <w:color w:val="4F81BD" w:themeColor="accent1"/>
        </w:rPr>
        <w:t>Il est possible d’</w:t>
      </w:r>
      <w:r w:rsidR="0029124E" w:rsidRPr="0029124E">
        <w:rPr>
          <w:rFonts w:ascii="Cambria" w:hAnsi="Cambria" w:cs="Times"/>
          <w:color w:val="4F81BD" w:themeColor="accent1"/>
        </w:rPr>
        <w:t xml:space="preserve">affirmer sans retenue que </w:t>
      </w:r>
      <w:r>
        <w:rPr>
          <w:rFonts w:ascii="Cambria" w:hAnsi="Cambria" w:cs="Times"/>
          <w:color w:val="4F81BD" w:themeColor="accent1"/>
        </w:rPr>
        <w:t>l</w:t>
      </w:r>
      <w:r w:rsidR="0029124E" w:rsidRPr="0029124E">
        <w:rPr>
          <w:rFonts w:ascii="Cambria" w:hAnsi="Cambria" w:cs="Times"/>
          <w:color w:val="4F81BD" w:themeColor="accent1"/>
        </w:rPr>
        <w:t>'article 6</w:t>
      </w:r>
      <w:r>
        <w:rPr>
          <w:rFonts w:ascii="Cambria" w:hAnsi="Cambria" w:cs="Times"/>
          <w:color w:val="4F81BD" w:themeColor="accent1"/>
        </w:rPr>
        <w:t xml:space="preserve"> </w:t>
      </w:r>
      <w:r w:rsidR="0029124E" w:rsidRPr="0029124E">
        <w:rPr>
          <w:rFonts w:ascii="Cambria" w:hAnsi="Cambria" w:cs="Times"/>
          <w:color w:val="4F81BD" w:themeColor="accent1"/>
        </w:rPr>
        <w:t xml:space="preserve">§1 de la Convention européenne </w:t>
      </w:r>
      <w:r>
        <w:rPr>
          <w:rFonts w:ascii="Cambria" w:hAnsi="Cambria" w:cs="Times"/>
          <w:color w:val="4F81BD" w:themeColor="accent1"/>
        </w:rPr>
        <w:t xml:space="preserve">de sauvegarde </w:t>
      </w:r>
      <w:r w:rsidR="0029124E" w:rsidRPr="0029124E">
        <w:rPr>
          <w:rFonts w:ascii="Cambria" w:hAnsi="Cambria" w:cs="Times"/>
          <w:color w:val="4F81BD" w:themeColor="accent1"/>
        </w:rPr>
        <w:t>des droits de l'</w:t>
      </w:r>
      <w:r w:rsidR="00F54574">
        <w:rPr>
          <w:rFonts w:ascii="Cambria" w:hAnsi="Cambria" w:cs="Times"/>
          <w:color w:val="4F81BD" w:themeColor="accent1"/>
        </w:rPr>
        <w:t>H</w:t>
      </w:r>
      <w:r w:rsidR="0029124E" w:rsidRPr="0029124E">
        <w:rPr>
          <w:rFonts w:ascii="Cambria" w:hAnsi="Cambria" w:cs="Times"/>
          <w:color w:val="4F81BD" w:themeColor="accent1"/>
        </w:rPr>
        <w:t>omme a une influence redoutable sur le contentieu</w:t>
      </w:r>
      <w:r w:rsidR="005B7E16">
        <w:rPr>
          <w:rFonts w:ascii="Cambria" w:hAnsi="Cambria" w:cs="Times"/>
          <w:color w:val="4F81BD" w:themeColor="accent1"/>
        </w:rPr>
        <w:t>x de la Sécurité sociale et not</w:t>
      </w:r>
      <w:r w:rsidR="0029124E" w:rsidRPr="0029124E">
        <w:rPr>
          <w:rFonts w:ascii="Cambria" w:hAnsi="Cambria" w:cs="Times"/>
          <w:color w:val="4F81BD" w:themeColor="accent1"/>
        </w:rPr>
        <w:t>am</w:t>
      </w:r>
      <w:r w:rsidR="005B7E16">
        <w:rPr>
          <w:rFonts w:ascii="Cambria" w:hAnsi="Cambria" w:cs="Times"/>
          <w:color w:val="4F81BD" w:themeColor="accent1"/>
        </w:rPr>
        <w:t>m</w:t>
      </w:r>
      <w:r w:rsidR="0029124E" w:rsidRPr="0029124E">
        <w:rPr>
          <w:rFonts w:ascii="Cambria" w:hAnsi="Cambria" w:cs="Times"/>
          <w:color w:val="4F81BD" w:themeColor="accent1"/>
        </w:rPr>
        <w:t>ent sur le contentieux technique</w:t>
      </w:r>
      <w:r w:rsidR="005B7E16">
        <w:rPr>
          <w:rFonts w:ascii="Cambria" w:hAnsi="Cambria" w:cs="Times"/>
          <w:color w:val="4F81BD" w:themeColor="accent1"/>
        </w:rPr>
        <w:t>. E</w:t>
      </w:r>
      <w:r w:rsidR="0029124E" w:rsidRPr="0029124E">
        <w:rPr>
          <w:rFonts w:ascii="Cambria" w:hAnsi="Cambria" w:cs="Times"/>
          <w:color w:val="4F81BD" w:themeColor="accent1"/>
        </w:rPr>
        <w:t>n effet, cette influence est telle que le législateur et le pouvoir exécutif</w:t>
      </w:r>
      <w:r w:rsidR="00A477FC">
        <w:rPr>
          <w:rFonts w:ascii="Cambria" w:hAnsi="Cambria" w:cs="Times"/>
          <w:color w:val="4F81BD" w:themeColor="accent1"/>
        </w:rPr>
        <w:t>,</w:t>
      </w:r>
      <w:r w:rsidR="0029124E" w:rsidRPr="0029124E">
        <w:rPr>
          <w:rFonts w:ascii="Cambria" w:hAnsi="Cambria" w:cs="Times"/>
          <w:color w:val="4F81BD" w:themeColor="accent1"/>
        </w:rPr>
        <w:t xml:space="preserve"> soutenus par la jurisprudence</w:t>
      </w:r>
      <w:r w:rsidR="00A477FC">
        <w:rPr>
          <w:rFonts w:ascii="Cambria" w:hAnsi="Cambria" w:cs="Times"/>
          <w:color w:val="4F81BD" w:themeColor="accent1"/>
        </w:rPr>
        <w:t>,</w:t>
      </w:r>
      <w:r w:rsidR="0029124E" w:rsidRPr="0029124E">
        <w:rPr>
          <w:rFonts w:ascii="Cambria" w:hAnsi="Cambria" w:cs="Times"/>
          <w:color w:val="4F81BD" w:themeColor="accent1"/>
        </w:rPr>
        <w:t xml:space="preserve"> ont pris des mesu</w:t>
      </w:r>
      <w:r w:rsidR="000C0A9F">
        <w:rPr>
          <w:rFonts w:ascii="Cambria" w:hAnsi="Cambria" w:cs="Times"/>
          <w:color w:val="4F81BD" w:themeColor="accent1"/>
        </w:rPr>
        <w:t>res permettant la création d'un</w:t>
      </w:r>
      <w:r w:rsidR="0029124E" w:rsidRPr="0029124E">
        <w:rPr>
          <w:rFonts w:ascii="Cambria" w:hAnsi="Cambria" w:cs="Times"/>
          <w:color w:val="4F81BD" w:themeColor="accent1"/>
        </w:rPr>
        <w:t xml:space="preserve"> véritable ordre de juridiction</w:t>
      </w:r>
      <w:r w:rsidR="00A24F0C">
        <w:rPr>
          <w:rFonts w:ascii="Cambria" w:hAnsi="Cambria" w:cs="Times"/>
          <w:color w:val="4F81BD" w:themeColor="accent1"/>
        </w:rPr>
        <w:t>,</w:t>
      </w:r>
      <w:r w:rsidR="0029124E" w:rsidRPr="0029124E">
        <w:rPr>
          <w:rFonts w:ascii="Cambria" w:hAnsi="Cambria" w:cs="Times"/>
          <w:color w:val="4F81BD" w:themeColor="accent1"/>
        </w:rPr>
        <w:t xml:space="preserve"> conforme aux exigences de la convention. </w:t>
      </w:r>
    </w:p>
    <w:p w14:paraId="23279357" w14:textId="77777777" w:rsidR="00D766F9" w:rsidRDefault="00D766F9" w:rsidP="00715400">
      <w:pPr>
        <w:widowControl w:val="0"/>
        <w:autoSpaceDE w:val="0"/>
        <w:autoSpaceDN w:val="0"/>
        <w:adjustRightInd w:val="0"/>
        <w:jc w:val="both"/>
        <w:rPr>
          <w:rFonts w:ascii="Cambria" w:hAnsi="Cambria" w:cs="Times"/>
          <w:color w:val="4F81BD" w:themeColor="accent1"/>
        </w:rPr>
      </w:pPr>
    </w:p>
    <w:p w14:paraId="404C4892" w14:textId="550FCFFC" w:rsidR="00D766F9" w:rsidRDefault="00D766F9" w:rsidP="00715400">
      <w:pPr>
        <w:widowControl w:val="0"/>
        <w:autoSpaceDE w:val="0"/>
        <w:autoSpaceDN w:val="0"/>
        <w:adjustRightInd w:val="0"/>
        <w:jc w:val="both"/>
        <w:rPr>
          <w:rFonts w:ascii="Cambria" w:hAnsi="Cambria" w:cs="Times"/>
        </w:rPr>
      </w:pPr>
      <w:r w:rsidRPr="00D766F9">
        <w:rPr>
          <w:rFonts w:ascii="Cambria" w:hAnsi="Cambria" w:cs="Times"/>
        </w:rPr>
        <w:t xml:space="preserve">3/ La réforme de l’oralité dans le contentieux de la Sécurité sociale. </w:t>
      </w:r>
    </w:p>
    <w:p w14:paraId="0B655541" w14:textId="77777777" w:rsidR="00D766F9" w:rsidRDefault="00D766F9" w:rsidP="00715400">
      <w:pPr>
        <w:widowControl w:val="0"/>
        <w:autoSpaceDE w:val="0"/>
        <w:autoSpaceDN w:val="0"/>
        <w:adjustRightInd w:val="0"/>
        <w:jc w:val="both"/>
        <w:rPr>
          <w:rFonts w:ascii="Cambria" w:hAnsi="Cambria" w:cs="Times"/>
        </w:rPr>
      </w:pPr>
    </w:p>
    <w:p w14:paraId="318BDEA2" w14:textId="0FA32CB1" w:rsidR="000B481D" w:rsidRPr="000B481D" w:rsidRDefault="000B481D" w:rsidP="000B481D">
      <w:pPr>
        <w:widowControl w:val="0"/>
        <w:autoSpaceDE w:val="0"/>
        <w:autoSpaceDN w:val="0"/>
        <w:adjustRightInd w:val="0"/>
        <w:jc w:val="both"/>
        <w:rPr>
          <w:rFonts w:ascii="Cambria" w:hAnsi="Cambria" w:cs="Times"/>
          <w:color w:val="4F81BD" w:themeColor="accent1"/>
        </w:rPr>
      </w:pPr>
      <w:r w:rsidRPr="000B481D">
        <w:rPr>
          <w:rFonts w:ascii="Cambria" w:hAnsi="Cambria" w:cs="Times"/>
          <w:color w:val="4F81BD" w:themeColor="accent1"/>
        </w:rPr>
        <w:t>Les règles relatives à la procédure orale deva</w:t>
      </w:r>
      <w:r w:rsidR="00E523D5">
        <w:rPr>
          <w:rFonts w:ascii="Cambria" w:hAnsi="Cambria" w:cs="Times"/>
          <w:color w:val="4F81BD" w:themeColor="accent1"/>
        </w:rPr>
        <w:t xml:space="preserve">nt les </w:t>
      </w:r>
      <w:r w:rsidR="00A41681">
        <w:rPr>
          <w:rFonts w:ascii="Cambria" w:hAnsi="Cambria" w:cs="Times"/>
          <w:color w:val="4F81BD" w:themeColor="accent1"/>
        </w:rPr>
        <w:t>Tribunal des affaires de la Sécurité sociale</w:t>
      </w:r>
      <w:r w:rsidR="00E523D5">
        <w:rPr>
          <w:rFonts w:ascii="Cambria" w:hAnsi="Cambria" w:cs="Times"/>
          <w:color w:val="4F81BD" w:themeColor="accent1"/>
        </w:rPr>
        <w:t>, les TCI et la CNIT</w:t>
      </w:r>
      <w:r w:rsidRPr="000B481D">
        <w:rPr>
          <w:rFonts w:ascii="Cambria" w:hAnsi="Cambria" w:cs="Times"/>
          <w:color w:val="4F81BD" w:themeColor="accent1"/>
        </w:rPr>
        <w:t xml:space="preserve">AT ont été révisées par un décret du 1 octobre  2010. </w:t>
      </w:r>
    </w:p>
    <w:p w14:paraId="525CF77C" w14:textId="77777777" w:rsidR="00DE7019" w:rsidRDefault="00DE7019" w:rsidP="00715400">
      <w:pPr>
        <w:widowControl w:val="0"/>
        <w:autoSpaceDE w:val="0"/>
        <w:autoSpaceDN w:val="0"/>
        <w:adjustRightInd w:val="0"/>
        <w:jc w:val="both"/>
        <w:rPr>
          <w:rFonts w:ascii="Cambria" w:hAnsi="Cambria" w:cs="Times"/>
          <w:color w:val="4F81BD" w:themeColor="accent1"/>
        </w:rPr>
      </w:pPr>
    </w:p>
    <w:p w14:paraId="49844653" w14:textId="1C0EFE35" w:rsidR="00D766F9" w:rsidRDefault="000B481D" w:rsidP="00715400">
      <w:pPr>
        <w:widowControl w:val="0"/>
        <w:autoSpaceDE w:val="0"/>
        <w:autoSpaceDN w:val="0"/>
        <w:adjustRightInd w:val="0"/>
        <w:jc w:val="both"/>
        <w:rPr>
          <w:rFonts w:ascii="Cambria" w:hAnsi="Cambria" w:cs="Times"/>
          <w:color w:val="4F81BD" w:themeColor="accent1"/>
        </w:rPr>
      </w:pPr>
      <w:r w:rsidRPr="000B481D">
        <w:rPr>
          <w:rFonts w:ascii="Cambria" w:hAnsi="Cambria" w:cs="Times"/>
          <w:color w:val="4F81BD" w:themeColor="accent1"/>
        </w:rPr>
        <w:t>Le principe de l'oralité de la procédure est maintenu mais ce décret instaure la possibilité d'une dispense de comparution devant ces juridictions. En effet, il introduit dans le Code de la sécurité sociale le principe de l'oralité de la procédure mais il permet</w:t>
      </w:r>
      <w:r w:rsidR="008F3F58">
        <w:rPr>
          <w:rFonts w:ascii="Cambria" w:hAnsi="Cambria" w:cs="Times"/>
          <w:color w:val="4F81BD" w:themeColor="accent1"/>
        </w:rPr>
        <w:t>,</w:t>
      </w:r>
      <w:r w:rsidRPr="000B481D">
        <w:rPr>
          <w:rFonts w:ascii="Cambria" w:hAnsi="Cambria" w:cs="Times"/>
          <w:color w:val="4F81BD" w:themeColor="accent1"/>
        </w:rPr>
        <w:t xml:space="preserve"> dans certains cas</w:t>
      </w:r>
      <w:r w:rsidR="008F3F58">
        <w:rPr>
          <w:rFonts w:ascii="Cambria" w:hAnsi="Cambria" w:cs="Times"/>
          <w:color w:val="4F81BD" w:themeColor="accent1"/>
        </w:rPr>
        <w:t>,</w:t>
      </w:r>
      <w:r w:rsidRPr="000B481D">
        <w:rPr>
          <w:rFonts w:ascii="Cambria" w:hAnsi="Cambria" w:cs="Times"/>
          <w:color w:val="4F81BD" w:themeColor="accent1"/>
        </w:rPr>
        <w:t xml:space="preserve"> au juge de dispenser une partie qui en a fait la demande de se présenter à l'audience. Cependant, et c'est surtou</w:t>
      </w:r>
      <w:r w:rsidR="00BC6608">
        <w:rPr>
          <w:rFonts w:ascii="Cambria" w:hAnsi="Cambria" w:cs="Times"/>
          <w:color w:val="4F81BD" w:themeColor="accent1"/>
        </w:rPr>
        <w:t>t ce point qui nous intéresse, l</w:t>
      </w:r>
      <w:r w:rsidRPr="000B481D">
        <w:rPr>
          <w:rFonts w:ascii="Cambria" w:hAnsi="Cambria" w:cs="Times"/>
          <w:color w:val="4F81BD" w:themeColor="accent1"/>
        </w:rPr>
        <w:t xml:space="preserve">e décret s'assure que le principe du contradictoire </w:t>
      </w:r>
      <w:r w:rsidR="00836031">
        <w:rPr>
          <w:rFonts w:ascii="Cambria" w:hAnsi="Cambria" w:cs="Times"/>
          <w:color w:val="4F81BD" w:themeColor="accent1"/>
        </w:rPr>
        <w:t>est</w:t>
      </w:r>
      <w:r w:rsidRPr="000B481D">
        <w:rPr>
          <w:rFonts w:ascii="Cambria" w:hAnsi="Cambria" w:cs="Times"/>
          <w:color w:val="4F81BD" w:themeColor="accent1"/>
        </w:rPr>
        <w:t xml:space="preserve"> respecté. Il prévoit ainsi que la communication entre les parties est faite par le biais de lettre recommandée avec demande d'avis de réception ou par notification entre avocats. Durant l'audience</w:t>
      </w:r>
      <w:r w:rsidR="00966645">
        <w:rPr>
          <w:rFonts w:ascii="Cambria" w:hAnsi="Cambria" w:cs="Times"/>
          <w:color w:val="4F81BD" w:themeColor="accent1"/>
        </w:rPr>
        <w:t>,</w:t>
      </w:r>
      <w:r w:rsidRPr="000B481D">
        <w:rPr>
          <w:rFonts w:ascii="Cambria" w:hAnsi="Cambria" w:cs="Times"/>
          <w:color w:val="4F81BD" w:themeColor="accent1"/>
        </w:rPr>
        <w:t xml:space="preserve"> toute partie peut aussi exposer ses moyens </w:t>
      </w:r>
      <w:r w:rsidR="0065007E">
        <w:rPr>
          <w:rFonts w:ascii="Cambria" w:hAnsi="Cambria" w:cs="Times"/>
          <w:color w:val="4F81BD" w:themeColor="accent1"/>
        </w:rPr>
        <w:t>par lettre adressée au tribunal</w:t>
      </w:r>
      <w:r w:rsidRPr="000B481D">
        <w:rPr>
          <w:rFonts w:ascii="Cambria" w:hAnsi="Cambria" w:cs="Times"/>
          <w:color w:val="4F81BD" w:themeColor="accent1"/>
        </w:rPr>
        <w:t xml:space="preserve"> mais il faut pour cela que l'adversaire en a</w:t>
      </w:r>
      <w:r w:rsidR="0065007E">
        <w:rPr>
          <w:rFonts w:ascii="Cambria" w:hAnsi="Cambria" w:cs="Times"/>
          <w:color w:val="4F81BD" w:themeColor="accent1"/>
        </w:rPr>
        <w:t>it</w:t>
      </w:r>
      <w:r w:rsidRPr="000B481D">
        <w:rPr>
          <w:rFonts w:ascii="Cambria" w:hAnsi="Cambria" w:cs="Times"/>
          <w:color w:val="4F81BD" w:themeColor="accent1"/>
        </w:rPr>
        <w:t xml:space="preserve"> eu connaissance av</w:t>
      </w:r>
      <w:r w:rsidR="0065007E">
        <w:rPr>
          <w:rFonts w:ascii="Cambria" w:hAnsi="Cambria" w:cs="Times"/>
          <w:color w:val="4F81BD" w:themeColor="accent1"/>
        </w:rPr>
        <w:t>ant</w:t>
      </w:r>
      <w:r w:rsidRPr="000B481D">
        <w:rPr>
          <w:rFonts w:ascii="Cambria" w:hAnsi="Cambria" w:cs="Times"/>
          <w:color w:val="4F81BD" w:themeColor="accent1"/>
        </w:rPr>
        <w:t xml:space="preserve"> l'audience par lettre recommandé</w:t>
      </w:r>
      <w:r w:rsidR="00915397">
        <w:rPr>
          <w:rFonts w:ascii="Cambria" w:hAnsi="Cambria" w:cs="Times"/>
          <w:color w:val="4F81BD" w:themeColor="accent1"/>
        </w:rPr>
        <w:t>e</w:t>
      </w:r>
      <w:r w:rsidRPr="000B481D">
        <w:rPr>
          <w:rFonts w:ascii="Cambria" w:hAnsi="Cambria" w:cs="Times"/>
          <w:color w:val="4F81BD" w:themeColor="accent1"/>
        </w:rPr>
        <w:t xml:space="preserve"> avec demande d'avis de réception. </w:t>
      </w:r>
    </w:p>
    <w:p w14:paraId="20C411A5" w14:textId="66355869" w:rsidR="00915397" w:rsidRDefault="00915397" w:rsidP="008270B8">
      <w:pPr>
        <w:pStyle w:val="Titre2"/>
      </w:pPr>
      <w:r>
        <w:t xml:space="preserve">B/ La violations subsistantes de l’exigence d’un procès équitable. </w:t>
      </w:r>
    </w:p>
    <w:p w14:paraId="1AC7D2D4" w14:textId="77777777" w:rsidR="008270B8" w:rsidRDefault="008270B8" w:rsidP="008270B8"/>
    <w:p w14:paraId="0014E5DA" w14:textId="5D34E811" w:rsidR="00AA0ACD" w:rsidRDefault="00E668A9" w:rsidP="008270B8">
      <w:pPr>
        <w:rPr>
          <w:color w:val="4F81BD" w:themeColor="accent1"/>
        </w:rPr>
      </w:pPr>
      <w:r w:rsidRPr="004425FE">
        <w:rPr>
          <w:color w:val="4F81BD" w:themeColor="accent1"/>
        </w:rPr>
        <w:t xml:space="preserve">La loi de 2002 a marqué un véritable tournant pour la conformité du contentieux de la </w:t>
      </w:r>
      <w:r w:rsidR="004425FE" w:rsidRPr="004425FE">
        <w:rPr>
          <w:color w:val="4F81BD" w:themeColor="accent1"/>
        </w:rPr>
        <w:t>S</w:t>
      </w:r>
      <w:r w:rsidRPr="004425FE">
        <w:rPr>
          <w:color w:val="4F81BD" w:themeColor="accent1"/>
        </w:rPr>
        <w:t>écurité sociale avec l’article 6</w:t>
      </w:r>
      <w:r w:rsidR="00CF1136">
        <w:rPr>
          <w:color w:val="4F81BD" w:themeColor="accent1"/>
        </w:rPr>
        <w:t xml:space="preserve"> </w:t>
      </w:r>
      <w:r w:rsidRPr="004425FE">
        <w:rPr>
          <w:color w:val="4F81BD" w:themeColor="accent1"/>
        </w:rPr>
        <w:t>§1 de la Convention européenne des droits de l’Homme. De plus</w:t>
      </w:r>
      <w:r w:rsidR="00617330">
        <w:rPr>
          <w:color w:val="4F81BD" w:themeColor="accent1"/>
        </w:rPr>
        <w:t>,</w:t>
      </w:r>
      <w:r w:rsidRPr="004425FE">
        <w:rPr>
          <w:color w:val="4F81BD" w:themeColor="accent1"/>
        </w:rPr>
        <w:t xml:space="preserve"> de nombreuses jurisprudences sont venues </w:t>
      </w:r>
      <w:r w:rsidR="00504ADA">
        <w:rPr>
          <w:color w:val="4F81BD" w:themeColor="accent1"/>
        </w:rPr>
        <w:t>compléter</w:t>
      </w:r>
      <w:r w:rsidRPr="004425FE">
        <w:rPr>
          <w:color w:val="4F81BD" w:themeColor="accent1"/>
        </w:rPr>
        <w:t xml:space="preserve"> la loi. Par exemple</w:t>
      </w:r>
      <w:r w:rsidR="00504ADA">
        <w:rPr>
          <w:color w:val="4F81BD" w:themeColor="accent1"/>
        </w:rPr>
        <w:t>,</w:t>
      </w:r>
      <w:r w:rsidRPr="004425FE">
        <w:rPr>
          <w:color w:val="4F81BD" w:themeColor="accent1"/>
        </w:rPr>
        <w:t xml:space="preserve"> l’accès aux certificats médicaux, </w:t>
      </w:r>
      <w:r w:rsidR="00E30854">
        <w:rPr>
          <w:color w:val="4F81BD" w:themeColor="accent1"/>
        </w:rPr>
        <w:t xml:space="preserve">au </w:t>
      </w:r>
      <w:r w:rsidRPr="004425FE">
        <w:rPr>
          <w:color w:val="4F81BD" w:themeColor="accent1"/>
        </w:rPr>
        <w:t>centre de nombreux arrêts de cassation, est devenu accessible dès la fin de l’instruction par l’employeur depuis le 2 avril 2009. Le Conseil constitutionnel a également tranché une question prioritaire de constitutionnalité le 3 décembre 2010, rejetant les moyens fondés sur des principes similaires à la convention européenne tel</w:t>
      </w:r>
      <w:r w:rsidR="008D51BA">
        <w:rPr>
          <w:color w:val="4F81BD" w:themeColor="accent1"/>
        </w:rPr>
        <w:t>le</w:t>
      </w:r>
      <w:r w:rsidRPr="004425FE">
        <w:rPr>
          <w:color w:val="4F81BD" w:themeColor="accent1"/>
        </w:rPr>
        <w:t xml:space="preserve"> que la violation de la composition du </w:t>
      </w:r>
      <w:r w:rsidR="00A41681">
        <w:rPr>
          <w:color w:val="4F81BD" w:themeColor="accent1"/>
        </w:rPr>
        <w:t>Tribunal des affaires de la Sécurité sociale</w:t>
      </w:r>
      <w:r w:rsidRPr="004425FE">
        <w:rPr>
          <w:color w:val="4F81BD" w:themeColor="accent1"/>
        </w:rPr>
        <w:t xml:space="preserve"> au principe d’égalité devant la loi, d’égal accès aux emplois publics et d’impartialité et d’indépendance de ses membres. </w:t>
      </w:r>
    </w:p>
    <w:p w14:paraId="7EEFD42C" w14:textId="732F6BD4" w:rsidR="008270B8" w:rsidRDefault="00E668A9" w:rsidP="008270B8">
      <w:pPr>
        <w:rPr>
          <w:color w:val="4F81BD" w:themeColor="accent1"/>
        </w:rPr>
      </w:pPr>
      <w:r w:rsidRPr="004425FE">
        <w:rPr>
          <w:color w:val="4F81BD" w:themeColor="accent1"/>
        </w:rPr>
        <w:t>Néanmoins</w:t>
      </w:r>
      <w:r w:rsidR="008D51BA">
        <w:rPr>
          <w:color w:val="4F81BD" w:themeColor="accent1"/>
        </w:rPr>
        <w:t>,</w:t>
      </w:r>
      <w:r w:rsidRPr="004425FE">
        <w:rPr>
          <w:color w:val="4F81BD" w:themeColor="accent1"/>
        </w:rPr>
        <w:t xml:space="preserve"> il subsiste quelques manquements et notamment le classique irrespect du délai raisonnable de jugement, propres à quasiment toutes les juridictions françaises (1). De plus</w:t>
      </w:r>
      <w:r w:rsidR="005E68DE">
        <w:rPr>
          <w:color w:val="4F81BD" w:themeColor="accent1"/>
        </w:rPr>
        <w:t>,</w:t>
      </w:r>
      <w:r w:rsidRPr="004425FE">
        <w:rPr>
          <w:color w:val="4F81BD" w:themeColor="accent1"/>
        </w:rPr>
        <w:t xml:space="preserve"> la caisse n’est toujours pas tenue d’envoyer le dossier d’instruction à l’employeur</w:t>
      </w:r>
      <w:r w:rsidR="00A62FE0">
        <w:rPr>
          <w:color w:val="4F81BD" w:themeColor="accent1"/>
        </w:rPr>
        <w:t xml:space="preserve"> </w:t>
      </w:r>
      <w:r w:rsidRPr="004425FE">
        <w:rPr>
          <w:color w:val="4F81BD" w:themeColor="accent1"/>
        </w:rPr>
        <w:t>(2</w:t>
      </w:r>
      <w:r w:rsidR="005E68DE">
        <w:rPr>
          <w:color w:val="4F81BD" w:themeColor="accent1"/>
        </w:rPr>
        <w:t xml:space="preserve">). </w:t>
      </w:r>
    </w:p>
    <w:p w14:paraId="6842C62A" w14:textId="77777777" w:rsidR="00886D93" w:rsidRDefault="00886D93" w:rsidP="008270B8">
      <w:pPr>
        <w:rPr>
          <w:color w:val="4F81BD" w:themeColor="accent1"/>
        </w:rPr>
      </w:pPr>
    </w:p>
    <w:p w14:paraId="64B91C63" w14:textId="2D648B7B" w:rsidR="00886D93" w:rsidRDefault="00886D93" w:rsidP="008270B8">
      <w:r w:rsidRPr="00A36C3E">
        <w:t xml:space="preserve">1/ </w:t>
      </w:r>
      <w:r w:rsidR="003F4263">
        <w:t xml:space="preserve">Le manquement subsistant : l’irrespect du délai raisonnable de jugement. </w:t>
      </w:r>
    </w:p>
    <w:p w14:paraId="3B67C71B" w14:textId="77777777" w:rsidR="004215D2" w:rsidRDefault="004215D2" w:rsidP="008270B8"/>
    <w:p w14:paraId="21AD682E" w14:textId="6D4F23EF" w:rsidR="00424D35" w:rsidRPr="00424D35" w:rsidRDefault="00424D35" w:rsidP="00424D35">
      <w:pPr>
        <w:jc w:val="both"/>
        <w:rPr>
          <w:color w:val="4F81BD" w:themeColor="accent1"/>
        </w:rPr>
      </w:pPr>
      <w:r w:rsidRPr="00424D35">
        <w:rPr>
          <w:color w:val="4F81BD" w:themeColor="accent1"/>
        </w:rPr>
        <w:t>« </w:t>
      </w:r>
      <w:r w:rsidRPr="00FB26B7">
        <w:rPr>
          <w:i/>
          <w:color w:val="4F81BD" w:themeColor="accent1"/>
        </w:rPr>
        <w:t>Toute personne a droit à ce que sa cause</w:t>
      </w:r>
      <w:r w:rsidRPr="00424D35">
        <w:rPr>
          <w:color w:val="4F81BD" w:themeColor="accent1"/>
        </w:rPr>
        <w:t xml:space="preserve"> </w:t>
      </w:r>
      <w:r w:rsidR="00FB26B7">
        <w:rPr>
          <w:color w:val="4F81BD" w:themeColor="accent1"/>
        </w:rPr>
        <w:t>(…)</w:t>
      </w:r>
      <w:r w:rsidRPr="00424D35">
        <w:rPr>
          <w:color w:val="4F81BD" w:themeColor="accent1"/>
        </w:rPr>
        <w:t xml:space="preserve"> </w:t>
      </w:r>
      <w:r w:rsidRPr="00FB26B7">
        <w:rPr>
          <w:i/>
          <w:color w:val="4F81BD" w:themeColor="accent1"/>
        </w:rPr>
        <w:t>dans un délai raisonnable</w:t>
      </w:r>
      <w:r w:rsidRPr="00424D35">
        <w:rPr>
          <w:color w:val="4F81BD" w:themeColor="accent1"/>
        </w:rPr>
        <w:t> » (</w:t>
      </w:r>
      <w:r w:rsidR="00FB26B7">
        <w:rPr>
          <w:color w:val="4F81BD" w:themeColor="accent1"/>
        </w:rPr>
        <w:t>A</w:t>
      </w:r>
      <w:r w:rsidRPr="00424D35">
        <w:rPr>
          <w:color w:val="4F81BD" w:themeColor="accent1"/>
        </w:rPr>
        <w:t>rticle 6</w:t>
      </w:r>
      <w:r w:rsidR="00FB26B7">
        <w:rPr>
          <w:color w:val="4F81BD" w:themeColor="accent1"/>
        </w:rPr>
        <w:t xml:space="preserve"> </w:t>
      </w:r>
      <w:r w:rsidRPr="00424D35">
        <w:rPr>
          <w:color w:val="4F81BD" w:themeColor="accent1"/>
        </w:rPr>
        <w:t>§1 de la Convention européenne des droits de l’Homme).</w:t>
      </w:r>
    </w:p>
    <w:p w14:paraId="102269D5" w14:textId="77777777" w:rsidR="00FB26B7" w:rsidRDefault="00FB26B7" w:rsidP="00424D35">
      <w:pPr>
        <w:jc w:val="both"/>
        <w:rPr>
          <w:b/>
          <w:color w:val="4F81BD" w:themeColor="accent1"/>
        </w:rPr>
      </w:pPr>
    </w:p>
    <w:p w14:paraId="148281AF" w14:textId="6C468917" w:rsidR="00424D35" w:rsidRPr="00FE4BAF" w:rsidRDefault="00424D35" w:rsidP="00424D35">
      <w:pPr>
        <w:jc w:val="both"/>
        <w:rPr>
          <w:color w:val="4F81BD" w:themeColor="accent1"/>
        </w:rPr>
      </w:pPr>
      <w:r w:rsidRPr="00FE4BAF">
        <w:rPr>
          <w:color w:val="4F81BD" w:themeColor="accent1"/>
        </w:rPr>
        <w:t>Grief fréquemment retenu par la Cour européenne des droits de l’Homme, le respect du délai raisonnable de jugement a fait l’objet d’un certain tempérament tel</w:t>
      </w:r>
      <w:r w:rsidR="00E94442">
        <w:rPr>
          <w:color w:val="4F81BD" w:themeColor="accent1"/>
        </w:rPr>
        <w:t>le</w:t>
      </w:r>
      <w:r w:rsidRPr="00FE4BAF">
        <w:rPr>
          <w:color w:val="4F81BD" w:themeColor="accent1"/>
        </w:rPr>
        <w:t xml:space="preserve"> que la prise en compte des circonstances propres à chaque affaire. L’arrêt de la CEDH du 28 octobre 1999 a ainsi posé quatre critères non déterminants à eux-seuls : la complexité du litige, le comportement du requérant, le comportement des autorités judiciaires et de l’exécutif et l’importance de l’enjeu. Ce principe vise à éviter un déni de justice tant par la déperdition des preuves que par une certaine lassitude, une perte d’intérêt des parties à voir un litige ancien être jugé. </w:t>
      </w:r>
    </w:p>
    <w:p w14:paraId="392CC8BA" w14:textId="77777777" w:rsidR="00DA5B2B" w:rsidRDefault="00DA5B2B" w:rsidP="00424D35">
      <w:pPr>
        <w:jc w:val="both"/>
        <w:rPr>
          <w:color w:val="4F81BD" w:themeColor="accent1"/>
        </w:rPr>
      </w:pPr>
    </w:p>
    <w:p w14:paraId="6DB5C94C" w14:textId="75AB6C58" w:rsidR="00424D35" w:rsidRPr="00FE4BAF" w:rsidRDefault="00424D35" w:rsidP="00424D35">
      <w:pPr>
        <w:jc w:val="both"/>
        <w:rPr>
          <w:color w:val="4F81BD" w:themeColor="accent1"/>
        </w:rPr>
      </w:pPr>
      <w:r w:rsidRPr="00FE4BAF">
        <w:rPr>
          <w:color w:val="4F81BD" w:themeColor="accent1"/>
        </w:rPr>
        <w:t xml:space="preserve">Le délai raisonnable de jugement correspond à la durée totale de la procédure nécessaire pour mettre fin au litige, c’est-à-dire de la date de l’assignation devant la juridiction compétente à la date du prononcé du jugement définitif. Par exemple, l’arrêt du 28 octobre 1999 faisait suite à une procédure longue de 5 ans et dix mois : la violation du principe du délai raisonnable était ainsi constituée. Selon l’arrêt de la Cour européenne des droits de l’Homme du </w:t>
      </w:r>
      <w:r w:rsidRPr="00FE4BAF">
        <w:rPr>
          <w:rStyle w:val="txtnote"/>
          <w:color w:val="4F81BD" w:themeColor="accent1"/>
        </w:rPr>
        <w:t xml:space="preserve">30 octobre 1991, dit </w:t>
      </w:r>
      <w:r w:rsidRPr="000F4F61">
        <w:rPr>
          <w:rStyle w:val="txtnote"/>
          <w:color w:val="4F81BD" w:themeColor="accent1"/>
          <w:u w:val="single"/>
        </w:rPr>
        <w:t>Weisinger c/ Autriche</w:t>
      </w:r>
      <w:r w:rsidRPr="00FE4BAF">
        <w:rPr>
          <w:rStyle w:val="txtnote"/>
          <w:color w:val="4F81BD" w:themeColor="accent1"/>
        </w:rPr>
        <w:t xml:space="preserve">, </w:t>
      </w:r>
      <w:r w:rsidRPr="00FE4BAF">
        <w:rPr>
          <w:color w:val="4F81BD" w:themeColor="accent1"/>
        </w:rPr>
        <w:t>il est ici impossible d’imputer une durée irraisonnable aux parties sous prétexte qu’elles aient utilisées toutes les voies de recours existantes. Dans le cadre d’un contentieux des accidents du travail en vue d’une rectification du taux d’invalidité, la durée raisonnable est inévitablement violée car le requérant doit d’abord saisir les juridictions du contentieux général puis celles du contentieux technique. De même</w:t>
      </w:r>
      <w:r w:rsidR="007913CB">
        <w:rPr>
          <w:color w:val="4F81BD" w:themeColor="accent1"/>
        </w:rPr>
        <w:t>,</w:t>
      </w:r>
      <w:r w:rsidRPr="00FE4BAF">
        <w:rPr>
          <w:color w:val="4F81BD" w:themeColor="accent1"/>
        </w:rPr>
        <w:t xml:space="preserve"> le délai d’un mois pour le médecin expert des caisses est rarement respecté.</w:t>
      </w:r>
    </w:p>
    <w:p w14:paraId="0486835C" w14:textId="77777777" w:rsidR="00E263AF" w:rsidRDefault="00E263AF" w:rsidP="00424D35">
      <w:pPr>
        <w:jc w:val="both"/>
        <w:rPr>
          <w:color w:val="4F81BD" w:themeColor="accent1"/>
        </w:rPr>
      </w:pPr>
    </w:p>
    <w:p w14:paraId="71F867AF" w14:textId="12A0A519" w:rsidR="00424D35" w:rsidRPr="00FE4BAF" w:rsidRDefault="00424D35" w:rsidP="00424D35">
      <w:pPr>
        <w:jc w:val="both"/>
        <w:rPr>
          <w:color w:val="4F81BD" w:themeColor="accent1"/>
        </w:rPr>
      </w:pPr>
      <w:r w:rsidRPr="00FE4BAF">
        <w:rPr>
          <w:color w:val="4F81BD" w:themeColor="accent1"/>
        </w:rPr>
        <w:t>Cette exigence permet à la Cour européenne de regarder le déroulement de la procédure devant les juridictions internes à chaque état membre et d’en apprécier leur efficacité. En effet</w:t>
      </w:r>
      <w:r w:rsidR="00A440D6">
        <w:rPr>
          <w:color w:val="4F81BD" w:themeColor="accent1"/>
        </w:rPr>
        <w:t>,</w:t>
      </w:r>
      <w:r w:rsidRPr="00FE4BAF">
        <w:rPr>
          <w:color w:val="4F81BD" w:themeColor="accent1"/>
        </w:rPr>
        <w:t xml:space="preserve"> elle peut contester une loi envers sa convention sans que les juges internes français puissent s’y opposer au motif de la suprématie de la Constitution française, le Conseil constitutionnel s’étant déclaré incompétent pour regarder la conformité d’une loi au droit européen. Cette possibilité a été réaffirmée récemment de façon implicite lors de la question prioritaire de constitutionnalité du 3 décembre 2010.</w:t>
      </w:r>
    </w:p>
    <w:p w14:paraId="21F46213" w14:textId="77777777" w:rsidR="008B0583" w:rsidRDefault="008B0583" w:rsidP="00424D35">
      <w:pPr>
        <w:jc w:val="both"/>
        <w:rPr>
          <w:color w:val="4F81BD" w:themeColor="accent1"/>
        </w:rPr>
      </w:pPr>
    </w:p>
    <w:p w14:paraId="174E2BC8" w14:textId="1D4A1B58" w:rsidR="004215D2" w:rsidRDefault="00424D35" w:rsidP="00424D35">
      <w:pPr>
        <w:jc w:val="both"/>
        <w:rPr>
          <w:color w:val="4F81BD" w:themeColor="accent1"/>
        </w:rPr>
      </w:pPr>
      <w:r w:rsidRPr="00FE4BAF">
        <w:rPr>
          <w:color w:val="4F81BD" w:themeColor="accent1"/>
        </w:rPr>
        <w:t xml:space="preserve">Une fois le délai irraisonnable constaté par le juge européen, la responsabilité de l’Etat pourra être mise en cause : l’arrêt </w:t>
      </w:r>
      <w:r w:rsidRPr="00EE1C86">
        <w:rPr>
          <w:color w:val="4F81BD" w:themeColor="accent1"/>
          <w:u w:val="single"/>
        </w:rPr>
        <w:t>Vernillo</w:t>
      </w:r>
      <w:r w:rsidR="00EE1C86" w:rsidRPr="00EE1C86">
        <w:rPr>
          <w:color w:val="4F81BD" w:themeColor="accent1"/>
          <w:u w:val="single"/>
        </w:rPr>
        <w:t xml:space="preserve"> c/</w:t>
      </w:r>
      <w:r w:rsidRPr="00EE1C86">
        <w:rPr>
          <w:color w:val="4F81BD" w:themeColor="accent1"/>
          <w:u w:val="single"/>
        </w:rPr>
        <w:t xml:space="preserve"> France</w:t>
      </w:r>
      <w:r w:rsidRPr="00FE4BAF">
        <w:rPr>
          <w:color w:val="4F81BD" w:themeColor="accent1"/>
        </w:rPr>
        <w:t xml:space="preserve"> du 20 février 1991 de la Cour européenne des droits de l’Homme a en effet créé un régime de responsabilité pour fonctionnement défectueux de la justice.</w:t>
      </w:r>
      <w:r w:rsidR="00672127">
        <w:rPr>
          <w:color w:val="4F81BD" w:themeColor="accent1"/>
        </w:rPr>
        <w:t xml:space="preserve"> </w:t>
      </w:r>
    </w:p>
    <w:p w14:paraId="51797F47" w14:textId="77777777" w:rsidR="00E232A0" w:rsidRDefault="00E232A0" w:rsidP="00424D35">
      <w:pPr>
        <w:jc w:val="both"/>
        <w:rPr>
          <w:color w:val="4F81BD" w:themeColor="accent1"/>
        </w:rPr>
      </w:pPr>
    </w:p>
    <w:p w14:paraId="3D14B157" w14:textId="48AC1223" w:rsidR="00E232A0" w:rsidRDefault="00E232A0" w:rsidP="00424D35">
      <w:pPr>
        <w:jc w:val="both"/>
      </w:pPr>
      <w:r w:rsidRPr="00E232A0">
        <w:t xml:space="preserve">2/ L’envoi du dossier d’instruction à l’employeur. </w:t>
      </w:r>
    </w:p>
    <w:p w14:paraId="0C409A2A" w14:textId="77777777" w:rsidR="00E232A0" w:rsidRDefault="00E232A0" w:rsidP="00424D35">
      <w:pPr>
        <w:jc w:val="both"/>
      </w:pPr>
    </w:p>
    <w:p w14:paraId="42A9FDBF" w14:textId="1E29D16B" w:rsidR="004E6ECB" w:rsidRPr="000C6281" w:rsidRDefault="004E6ECB" w:rsidP="004E6ECB">
      <w:pPr>
        <w:rPr>
          <w:color w:val="4F81BD" w:themeColor="accent1"/>
        </w:rPr>
      </w:pPr>
      <w:r w:rsidRPr="000C6281">
        <w:rPr>
          <w:color w:val="4F81BD" w:themeColor="accent1"/>
        </w:rPr>
        <w:t xml:space="preserve">La loi de 2002 oblige la CPAM </w:t>
      </w:r>
      <w:r w:rsidR="009F4C71" w:rsidRPr="000C6281">
        <w:rPr>
          <w:color w:val="4F81BD" w:themeColor="accent1"/>
        </w:rPr>
        <w:t xml:space="preserve">à </w:t>
      </w:r>
      <w:r w:rsidRPr="000C6281">
        <w:rPr>
          <w:color w:val="4F81BD" w:themeColor="accent1"/>
        </w:rPr>
        <w:t>informer l’employeur de la fin de la procédure d’instruction, des éléments recueillis susceptibles de lui faire grief, de la possibilité de consulter le dossier et de la date à laquelle elle prévoit de prendre sa décision. Cependant les arrêts du 19 décembre 2002 de la chambre sociale de la Cour de cassation, qui l’ont suivi, n’obligent pas  les caisses à énoncer formellement les griefs. De surcroit, elle a admis que l’envoi du dossier n’est soumis à aucune forme particulière, même pas à un avis de réception, c’est-à-dire qu’une seule et simple lettre informant la clôture de l’instruction sous les 10 jours de celle-ci est suffisante !</w:t>
      </w:r>
    </w:p>
    <w:p w14:paraId="3F2B0A5B" w14:textId="77777777" w:rsidR="000C6281" w:rsidRDefault="000C6281" w:rsidP="004E6ECB">
      <w:pPr>
        <w:rPr>
          <w:color w:val="4F81BD" w:themeColor="accent1"/>
        </w:rPr>
      </w:pPr>
    </w:p>
    <w:p w14:paraId="256701BF" w14:textId="60D21442" w:rsidR="00C961F4" w:rsidRDefault="004E6ECB" w:rsidP="004E6ECB">
      <w:pPr>
        <w:rPr>
          <w:color w:val="4F81BD" w:themeColor="accent1"/>
        </w:rPr>
      </w:pPr>
      <w:r w:rsidRPr="000C6281">
        <w:rPr>
          <w:color w:val="4F81BD" w:themeColor="accent1"/>
        </w:rPr>
        <w:t xml:space="preserve">Tous ces aménagements visent en réalité le désencombrement des tribunaux et donc à limiter les sanctions aux manquements les plus graves des caisses… </w:t>
      </w:r>
      <w:r w:rsidR="00B343FA">
        <w:rPr>
          <w:color w:val="4F81BD" w:themeColor="accent1"/>
        </w:rPr>
        <w:t>L</w:t>
      </w:r>
      <w:r w:rsidRPr="000C6281">
        <w:rPr>
          <w:color w:val="4F81BD" w:themeColor="accent1"/>
        </w:rPr>
        <w:t xml:space="preserve">es pouvoirs publics envisagent d’ailleurs d’aller plus loin, en modifiant en profondeur les règles de prescription pour les employeurs… Les sources d’inopposabilité se sont ainsi réduites sensiblement. </w:t>
      </w:r>
    </w:p>
    <w:p w14:paraId="76601AFD" w14:textId="77777777" w:rsidR="00C961F4" w:rsidRDefault="00C961F4">
      <w:pPr>
        <w:rPr>
          <w:color w:val="4F81BD" w:themeColor="accent1"/>
        </w:rPr>
      </w:pPr>
      <w:r>
        <w:rPr>
          <w:color w:val="4F81BD" w:themeColor="accent1"/>
        </w:rPr>
        <w:br w:type="page"/>
      </w:r>
    </w:p>
    <w:p w14:paraId="322216D1" w14:textId="5FF85524" w:rsidR="00E232A0" w:rsidRDefault="00C961F4" w:rsidP="00C961F4">
      <w:pPr>
        <w:pStyle w:val="Titre1"/>
      </w:pPr>
      <w:r>
        <w:t>Bibliographie</w:t>
      </w:r>
    </w:p>
    <w:p w14:paraId="54E74262" w14:textId="77777777" w:rsidR="00C961F4" w:rsidRDefault="00C961F4" w:rsidP="00C961F4"/>
    <w:p w14:paraId="14E484E9" w14:textId="2401EA63" w:rsidR="00D84FC9" w:rsidRDefault="00D84FC9" w:rsidP="00D84FC9">
      <w:pPr>
        <w:rPr>
          <w:color w:val="4F81BD" w:themeColor="accent1"/>
        </w:rPr>
      </w:pPr>
      <w:r w:rsidRPr="0055539A">
        <w:rPr>
          <w:color w:val="4F81BD" w:themeColor="accent1"/>
        </w:rPr>
        <w:t xml:space="preserve">1/ </w:t>
      </w:r>
      <w:r w:rsidR="00292444">
        <w:rPr>
          <w:color w:val="4F81BD" w:themeColor="accent1"/>
        </w:rPr>
        <w:t xml:space="preserve">Article 6 §1, Convention européenne de sauvegarde des droits de l’Homme. </w:t>
      </w:r>
    </w:p>
    <w:p w14:paraId="420A6643" w14:textId="49C6E9BF" w:rsidR="00292444" w:rsidRDefault="00292444" w:rsidP="00D84FC9">
      <w:pPr>
        <w:rPr>
          <w:color w:val="4F81BD" w:themeColor="accent1"/>
        </w:rPr>
      </w:pPr>
      <w:r>
        <w:rPr>
          <w:color w:val="4F81BD" w:themeColor="accent1"/>
        </w:rPr>
        <w:t xml:space="preserve">2/ Conclusions Pierre Lyon-Caen, Assemblée plénière, 22 décembre 2000. </w:t>
      </w:r>
      <w:r>
        <w:rPr>
          <w:i/>
          <w:color w:val="4F81BD" w:themeColor="accent1"/>
        </w:rPr>
        <w:t>Droit social</w:t>
      </w:r>
      <w:r>
        <w:rPr>
          <w:color w:val="4F81BD" w:themeColor="accent1"/>
        </w:rPr>
        <w:t xml:space="preserve"> 01, p. 282. </w:t>
      </w:r>
    </w:p>
    <w:p w14:paraId="79AD67A0" w14:textId="11B2ED6E" w:rsidR="00175E46" w:rsidRDefault="00175E46" w:rsidP="00D84FC9">
      <w:pPr>
        <w:rPr>
          <w:color w:val="4F81BD" w:themeColor="accent1"/>
        </w:rPr>
      </w:pPr>
      <w:r>
        <w:rPr>
          <w:color w:val="4F81BD" w:themeColor="accent1"/>
        </w:rPr>
        <w:t xml:space="preserve">3/ </w:t>
      </w:r>
      <w:r w:rsidR="0030387B">
        <w:rPr>
          <w:color w:val="4F81BD" w:themeColor="accent1"/>
        </w:rPr>
        <w:t xml:space="preserve">Rapport d’Odile Godard, docteur en droit : </w:t>
      </w:r>
      <w:r w:rsidR="0030387B">
        <w:rPr>
          <w:i/>
          <w:color w:val="4F81BD" w:themeColor="accent1"/>
        </w:rPr>
        <w:t>Contentieux des accidents du travail et Convention européenne de sauvegarde des droits de l’Homme</w:t>
      </w:r>
      <w:r w:rsidR="0030387B">
        <w:rPr>
          <w:color w:val="4F81BD" w:themeColor="accent1"/>
        </w:rPr>
        <w:t xml:space="preserve">. RJS 6/1995, p. 395 et s. </w:t>
      </w:r>
    </w:p>
    <w:p w14:paraId="57FA69F4" w14:textId="06389413" w:rsidR="00013CC0" w:rsidRDefault="00013CC0" w:rsidP="00D84FC9">
      <w:pPr>
        <w:rPr>
          <w:color w:val="4F81BD" w:themeColor="accent1"/>
        </w:rPr>
      </w:pPr>
      <w:r>
        <w:rPr>
          <w:color w:val="4F81BD" w:themeColor="accent1"/>
        </w:rPr>
        <w:t xml:space="preserve">4/ CEDH, 6 mai 1985, </w:t>
      </w:r>
      <w:r>
        <w:rPr>
          <w:color w:val="4F81BD" w:themeColor="accent1"/>
          <w:u w:val="single"/>
        </w:rPr>
        <w:t>Bönisch c/ Autriche</w:t>
      </w:r>
      <w:r>
        <w:rPr>
          <w:color w:val="4F81BD" w:themeColor="accent1"/>
        </w:rPr>
        <w:t xml:space="preserve">. </w:t>
      </w:r>
    </w:p>
    <w:p w14:paraId="1DC0BDA8" w14:textId="7D5D9429" w:rsidR="00013CC0" w:rsidRDefault="00013CC0" w:rsidP="00D84FC9">
      <w:pPr>
        <w:rPr>
          <w:color w:val="4F81BD" w:themeColor="accent1"/>
        </w:rPr>
      </w:pPr>
      <w:r>
        <w:rPr>
          <w:color w:val="4F81BD" w:themeColor="accent1"/>
        </w:rPr>
        <w:t xml:space="preserve">5/ CEDH, 27 octobre 1993, </w:t>
      </w:r>
      <w:r>
        <w:rPr>
          <w:color w:val="4F81BD" w:themeColor="accent1"/>
          <w:u w:val="single"/>
        </w:rPr>
        <w:t>Dombo c/ Pays-Bas</w:t>
      </w:r>
      <w:r>
        <w:rPr>
          <w:color w:val="4F81BD" w:themeColor="accent1"/>
        </w:rPr>
        <w:t xml:space="preserve">. </w:t>
      </w:r>
    </w:p>
    <w:p w14:paraId="456ABD6E" w14:textId="04AA24B0" w:rsidR="00016210" w:rsidRDefault="00016210" w:rsidP="00D84FC9">
      <w:pPr>
        <w:rPr>
          <w:color w:val="4F81BD" w:themeColor="accent1"/>
        </w:rPr>
      </w:pPr>
      <w:r>
        <w:rPr>
          <w:color w:val="4F81BD" w:themeColor="accent1"/>
        </w:rPr>
        <w:t>6/ Cass. Soc., 18 octobre 2001</w:t>
      </w:r>
      <w:r w:rsidR="00EB0F0B">
        <w:rPr>
          <w:color w:val="4F81BD" w:themeColor="accent1"/>
        </w:rPr>
        <w:t xml:space="preserve">. </w:t>
      </w:r>
    </w:p>
    <w:p w14:paraId="0AFB682C" w14:textId="4A5D9F03" w:rsidR="00016210" w:rsidRDefault="009A31F0" w:rsidP="00D84FC9">
      <w:pPr>
        <w:rPr>
          <w:color w:val="4F81BD" w:themeColor="accent1"/>
        </w:rPr>
      </w:pPr>
      <w:r>
        <w:rPr>
          <w:color w:val="4F81BD" w:themeColor="accent1"/>
        </w:rPr>
        <w:t xml:space="preserve">7/ </w:t>
      </w:r>
      <w:r w:rsidR="005E2AB6">
        <w:rPr>
          <w:color w:val="4F81BD" w:themeColor="accent1"/>
        </w:rPr>
        <w:t>Cass. Soc., 28 mai 1998</w:t>
      </w:r>
      <w:r w:rsidR="00EB0F0B">
        <w:rPr>
          <w:color w:val="4F81BD" w:themeColor="accent1"/>
        </w:rPr>
        <w:t xml:space="preserve">. </w:t>
      </w:r>
    </w:p>
    <w:p w14:paraId="4E0EBA51" w14:textId="176CF772" w:rsidR="00EB0F0B" w:rsidRDefault="00EB0F0B" w:rsidP="00D84FC9">
      <w:pPr>
        <w:rPr>
          <w:color w:val="4F81BD" w:themeColor="accent1"/>
        </w:rPr>
      </w:pPr>
      <w:r>
        <w:rPr>
          <w:color w:val="4F81BD" w:themeColor="accent1"/>
        </w:rPr>
        <w:t xml:space="preserve">8/ Décret du 2 juin 1999. </w:t>
      </w:r>
    </w:p>
    <w:p w14:paraId="0E4E2B50" w14:textId="2AE9E16D" w:rsidR="00EB0F0B" w:rsidRDefault="00EB0F0B" w:rsidP="00D84FC9">
      <w:pPr>
        <w:rPr>
          <w:color w:val="4F81BD" w:themeColor="accent1"/>
        </w:rPr>
      </w:pPr>
      <w:r>
        <w:rPr>
          <w:color w:val="4F81BD" w:themeColor="accent1"/>
        </w:rPr>
        <w:t xml:space="preserve">9/ Assemblée plénière, 19 décembre 2002. </w:t>
      </w:r>
    </w:p>
    <w:p w14:paraId="4C5D1B37" w14:textId="70C2CCA3" w:rsidR="00EB0F0B" w:rsidRDefault="00EB0F0B" w:rsidP="00D84FC9">
      <w:pPr>
        <w:rPr>
          <w:color w:val="4F81BD" w:themeColor="accent1"/>
        </w:rPr>
      </w:pPr>
      <w:r>
        <w:rPr>
          <w:color w:val="4F81BD" w:themeColor="accent1"/>
        </w:rPr>
        <w:t xml:space="preserve">10/ CEDH, 21 février 1990, </w:t>
      </w:r>
      <w:r w:rsidRPr="00EB0F0B">
        <w:rPr>
          <w:color w:val="4F81BD" w:themeColor="accent1"/>
          <w:u w:val="single"/>
        </w:rPr>
        <w:t>Hakansson et Sturessouc c/ Suède</w:t>
      </w:r>
      <w:r>
        <w:rPr>
          <w:color w:val="4F81BD" w:themeColor="accent1"/>
        </w:rPr>
        <w:t xml:space="preserve">. </w:t>
      </w:r>
    </w:p>
    <w:p w14:paraId="28160B78" w14:textId="3DDF547B" w:rsidR="00EB0F0B" w:rsidRDefault="00EB0F0B" w:rsidP="00D84FC9">
      <w:pPr>
        <w:rPr>
          <w:color w:val="4F81BD" w:themeColor="accent1"/>
        </w:rPr>
      </w:pPr>
      <w:r>
        <w:rPr>
          <w:color w:val="4F81BD" w:themeColor="accent1"/>
        </w:rPr>
        <w:t xml:space="preserve">11/ </w:t>
      </w:r>
      <w:r w:rsidR="00737381">
        <w:rPr>
          <w:color w:val="4F81BD" w:themeColor="accent1"/>
        </w:rPr>
        <w:t>Conseil constitutionnel, 13 novembre 1985</w:t>
      </w:r>
      <w:r w:rsidR="00663183">
        <w:rPr>
          <w:color w:val="4F81BD" w:themeColor="accent1"/>
        </w:rPr>
        <w:t xml:space="preserve">. </w:t>
      </w:r>
    </w:p>
    <w:p w14:paraId="2EAD4E05" w14:textId="76D4476A" w:rsidR="0050045E" w:rsidRDefault="0050045E" w:rsidP="00D84FC9">
      <w:pPr>
        <w:rPr>
          <w:color w:val="4F81BD" w:themeColor="accent1"/>
        </w:rPr>
      </w:pPr>
      <w:r>
        <w:rPr>
          <w:color w:val="4F81BD" w:themeColor="accent1"/>
        </w:rPr>
        <w:t xml:space="preserve">12/ CEDH, 18 mars 1997, </w:t>
      </w:r>
      <w:r>
        <w:rPr>
          <w:color w:val="4F81BD" w:themeColor="accent1"/>
          <w:u w:val="single"/>
        </w:rPr>
        <w:t>Mantovanelli c/ France</w:t>
      </w:r>
      <w:r>
        <w:rPr>
          <w:color w:val="4F81BD" w:themeColor="accent1"/>
        </w:rPr>
        <w:t xml:space="preserve">. </w:t>
      </w:r>
    </w:p>
    <w:p w14:paraId="76BA1FF8" w14:textId="7864492D" w:rsidR="000A2238" w:rsidRDefault="000A2238" w:rsidP="00D84FC9">
      <w:pPr>
        <w:rPr>
          <w:color w:val="4F81BD" w:themeColor="accent1"/>
        </w:rPr>
      </w:pPr>
      <w:r>
        <w:rPr>
          <w:color w:val="4F81BD" w:themeColor="accent1"/>
        </w:rPr>
        <w:t xml:space="preserve">13/ CEDH, 23 juin 1993, </w:t>
      </w:r>
      <w:r>
        <w:rPr>
          <w:color w:val="4F81BD" w:themeColor="accent1"/>
          <w:u w:val="single"/>
        </w:rPr>
        <w:t>Ruiz-Mateos</w:t>
      </w:r>
      <w:r>
        <w:rPr>
          <w:color w:val="4F81BD" w:themeColor="accent1"/>
        </w:rPr>
        <w:t xml:space="preserve">. </w:t>
      </w:r>
    </w:p>
    <w:p w14:paraId="4187235C" w14:textId="73E636D0" w:rsidR="000A2238" w:rsidRDefault="000A2238" w:rsidP="00D84FC9">
      <w:pPr>
        <w:rPr>
          <w:color w:val="4F81BD" w:themeColor="accent1"/>
        </w:rPr>
      </w:pPr>
      <w:r>
        <w:rPr>
          <w:color w:val="4F81BD" w:themeColor="accent1"/>
        </w:rPr>
        <w:t xml:space="preserve">14/ P. Lambert, </w:t>
      </w:r>
      <w:r>
        <w:rPr>
          <w:i/>
          <w:color w:val="4F81BD" w:themeColor="accent1"/>
        </w:rPr>
        <w:t>La notion de délai raisonnable dans la jurisprudence de la Cour européenne des droits de l’Homme</w:t>
      </w:r>
      <w:r>
        <w:rPr>
          <w:color w:val="4F81BD" w:themeColor="accent1"/>
        </w:rPr>
        <w:t xml:space="preserve">. </w:t>
      </w:r>
    </w:p>
    <w:p w14:paraId="5B55568D" w14:textId="1357BB3B" w:rsidR="000A2238" w:rsidRDefault="000A2238" w:rsidP="00D84FC9">
      <w:pPr>
        <w:rPr>
          <w:color w:val="4F81BD" w:themeColor="accent1"/>
        </w:rPr>
      </w:pPr>
      <w:r>
        <w:rPr>
          <w:color w:val="4F81BD" w:themeColor="accent1"/>
        </w:rPr>
        <w:t xml:space="preserve">15/ </w:t>
      </w:r>
      <w:r w:rsidR="0064184A">
        <w:rPr>
          <w:color w:val="4F81BD" w:themeColor="accent1"/>
        </w:rPr>
        <w:t xml:space="preserve">CEDH, 19 avril 1994, </w:t>
      </w:r>
      <w:r w:rsidR="0064184A">
        <w:rPr>
          <w:color w:val="4F81BD" w:themeColor="accent1"/>
          <w:u w:val="single"/>
        </w:rPr>
        <w:t>Van de Hurk c/ Pays-Bas</w:t>
      </w:r>
      <w:r w:rsidR="0064184A">
        <w:rPr>
          <w:color w:val="4F81BD" w:themeColor="accent1"/>
        </w:rPr>
        <w:t xml:space="preserve">. </w:t>
      </w:r>
    </w:p>
    <w:p w14:paraId="7DA7398C" w14:textId="73D0F864" w:rsidR="0064184A" w:rsidRDefault="0064184A" w:rsidP="00D84FC9">
      <w:pPr>
        <w:rPr>
          <w:color w:val="4F81BD" w:themeColor="accent1"/>
        </w:rPr>
      </w:pPr>
      <w:r>
        <w:rPr>
          <w:color w:val="4F81BD" w:themeColor="accent1"/>
        </w:rPr>
        <w:t xml:space="preserve">16/ </w:t>
      </w:r>
      <w:r w:rsidR="005E093A">
        <w:rPr>
          <w:color w:val="4F81BD" w:themeColor="accent1"/>
        </w:rPr>
        <w:t xml:space="preserve">CEDH, 30 octobre 1991, </w:t>
      </w:r>
      <w:r w:rsidR="005E093A">
        <w:rPr>
          <w:color w:val="4F81BD" w:themeColor="accent1"/>
          <w:u w:val="single"/>
        </w:rPr>
        <w:t>Vernillo c/ France</w:t>
      </w:r>
      <w:r w:rsidR="005E093A">
        <w:rPr>
          <w:color w:val="4F81BD" w:themeColor="accent1"/>
        </w:rPr>
        <w:t xml:space="preserve">. </w:t>
      </w:r>
    </w:p>
    <w:p w14:paraId="5C7AF334" w14:textId="058B57B6" w:rsidR="005E093A" w:rsidRDefault="005E093A" w:rsidP="00D84FC9">
      <w:pPr>
        <w:rPr>
          <w:color w:val="4F81BD" w:themeColor="accent1"/>
        </w:rPr>
      </w:pPr>
      <w:r>
        <w:rPr>
          <w:color w:val="4F81BD" w:themeColor="accent1"/>
        </w:rPr>
        <w:t xml:space="preserve">17/ </w:t>
      </w:r>
      <w:r w:rsidR="001005CB">
        <w:rPr>
          <w:color w:val="4F81BD" w:themeColor="accent1"/>
        </w:rPr>
        <w:t xml:space="preserve">CEDH, 30 octobre 1991, </w:t>
      </w:r>
      <w:r w:rsidR="001005CB">
        <w:rPr>
          <w:color w:val="4F81BD" w:themeColor="accent1"/>
          <w:u w:val="single"/>
        </w:rPr>
        <w:t>Weisinger c/ Autriche</w:t>
      </w:r>
      <w:r w:rsidR="001005CB">
        <w:rPr>
          <w:color w:val="4F81BD" w:themeColor="accent1"/>
        </w:rPr>
        <w:t xml:space="preserve">. </w:t>
      </w:r>
    </w:p>
    <w:p w14:paraId="447CDF32" w14:textId="21A912A8" w:rsidR="001005CB" w:rsidRDefault="001005CB" w:rsidP="00D84FC9">
      <w:pPr>
        <w:rPr>
          <w:color w:val="4F81BD" w:themeColor="accent1"/>
        </w:rPr>
      </w:pPr>
      <w:r>
        <w:rPr>
          <w:color w:val="4F81BD" w:themeColor="accent1"/>
        </w:rPr>
        <w:t xml:space="preserve">18/ </w:t>
      </w:r>
      <w:r w:rsidR="004D766E">
        <w:rPr>
          <w:color w:val="4F81BD" w:themeColor="accent1"/>
        </w:rPr>
        <w:t xml:space="preserve">CEDH, 28 octobre 1999. </w:t>
      </w:r>
    </w:p>
    <w:p w14:paraId="2171B13C" w14:textId="6FA3374B" w:rsidR="004D766E" w:rsidRDefault="004D766E" w:rsidP="00D84FC9">
      <w:pPr>
        <w:rPr>
          <w:color w:val="4F81BD" w:themeColor="accent1"/>
        </w:rPr>
      </w:pPr>
      <w:r>
        <w:rPr>
          <w:color w:val="4F81BD" w:themeColor="accent1"/>
        </w:rPr>
        <w:t xml:space="preserve">19/ </w:t>
      </w:r>
      <w:r w:rsidR="0041160C">
        <w:rPr>
          <w:color w:val="4F81BD" w:themeColor="accent1"/>
        </w:rPr>
        <w:t xml:space="preserve">Cass. Soc., 2 avril 1999. </w:t>
      </w:r>
    </w:p>
    <w:p w14:paraId="4FA201C4" w14:textId="1448C8BD" w:rsidR="00BE77C3" w:rsidRDefault="00BE77C3" w:rsidP="00D84FC9">
      <w:pPr>
        <w:rPr>
          <w:color w:val="4F81BD" w:themeColor="accent1"/>
        </w:rPr>
      </w:pPr>
      <w:r>
        <w:rPr>
          <w:color w:val="4F81BD" w:themeColor="accent1"/>
        </w:rPr>
        <w:t xml:space="preserve">20/ QPC, 3 décembre 2010. </w:t>
      </w:r>
    </w:p>
    <w:p w14:paraId="70BF34B2" w14:textId="5A75B722" w:rsidR="00BE77C3" w:rsidRDefault="00BE77C3" w:rsidP="00D84FC9">
      <w:pPr>
        <w:rPr>
          <w:color w:val="4F81BD" w:themeColor="accent1"/>
        </w:rPr>
      </w:pPr>
      <w:r>
        <w:rPr>
          <w:color w:val="4F81BD" w:themeColor="accent1"/>
        </w:rPr>
        <w:t xml:space="preserve">21/ Cass. Soc., 19 décembre 2002. </w:t>
      </w:r>
    </w:p>
    <w:p w14:paraId="54C6674C" w14:textId="5100C622" w:rsidR="00BE77C3" w:rsidRDefault="00BE77C3" w:rsidP="00D84FC9">
      <w:pPr>
        <w:rPr>
          <w:color w:val="4F81BD" w:themeColor="accent1"/>
        </w:rPr>
      </w:pPr>
      <w:r>
        <w:rPr>
          <w:color w:val="4F81BD" w:themeColor="accent1"/>
        </w:rPr>
        <w:t xml:space="preserve">22/ </w:t>
      </w:r>
      <w:r w:rsidR="001C37B6">
        <w:rPr>
          <w:color w:val="4F81BD" w:themeColor="accent1"/>
        </w:rPr>
        <w:t>Note Pascal Baby, avocat au Barreau de Paris, sous l’arrêt Civ. 2</w:t>
      </w:r>
      <w:r w:rsidR="001C37B6" w:rsidRPr="001C37B6">
        <w:rPr>
          <w:color w:val="4F81BD" w:themeColor="accent1"/>
          <w:vertAlign w:val="superscript"/>
        </w:rPr>
        <w:t>ème</w:t>
      </w:r>
      <w:r w:rsidR="001C37B6">
        <w:rPr>
          <w:color w:val="4F81BD" w:themeColor="accent1"/>
        </w:rPr>
        <w:t xml:space="preserve">, 2 avril 2000. </w:t>
      </w:r>
    </w:p>
    <w:p w14:paraId="1958A516" w14:textId="0111F538" w:rsidR="004C60FA" w:rsidRPr="004C60FA" w:rsidRDefault="004C60FA" w:rsidP="00D84FC9">
      <w:pPr>
        <w:rPr>
          <w:color w:val="4F81BD" w:themeColor="accent1"/>
        </w:rPr>
      </w:pPr>
      <w:r>
        <w:rPr>
          <w:color w:val="4F81BD" w:themeColor="accent1"/>
        </w:rPr>
        <w:t>23/ Mémoire de Rania Arbi</w:t>
      </w:r>
      <w:r w:rsidR="00EE0599">
        <w:rPr>
          <w:color w:val="4F81BD" w:themeColor="accent1"/>
        </w:rPr>
        <w:t>, DEA Droit social, 2002/2003</w:t>
      </w:r>
      <w:r>
        <w:rPr>
          <w:color w:val="4F81BD" w:themeColor="accent1"/>
        </w:rPr>
        <w:t xml:space="preserve"> : </w:t>
      </w:r>
      <w:r>
        <w:rPr>
          <w:i/>
          <w:color w:val="4F81BD" w:themeColor="accent1"/>
        </w:rPr>
        <w:t>La Convention européenne des droits de l’Homme et les droits sociaux</w:t>
      </w:r>
      <w:r>
        <w:rPr>
          <w:color w:val="4F81BD" w:themeColor="accent1"/>
        </w:rPr>
        <w:t xml:space="preserve">. </w:t>
      </w:r>
    </w:p>
    <w:sectPr w:rsidR="004C60FA" w:rsidRPr="004C60FA" w:rsidSect="00F046BC">
      <w:pgSz w:w="11900" w:h="16840"/>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381A"/>
    <w:multiLevelType w:val="hybridMultilevel"/>
    <w:tmpl w:val="B2329E12"/>
    <w:lvl w:ilvl="0" w:tplc="048AA6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BC"/>
    <w:rsid w:val="00000C71"/>
    <w:rsid w:val="0000608E"/>
    <w:rsid w:val="00007477"/>
    <w:rsid w:val="00007880"/>
    <w:rsid w:val="00010695"/>
    <w:rsid w:val="000118A0"/>
    <w:rsid w:val="00012995"/>
    <w:rsid w:val="000134B3"/>
    <w:rsid w:val="00013CC0"/>
    <w:rsid w:val="000152CD"/>
    <w:rsid w:val="0001557A"/>
    <w:rsid w:val="00016210"/>
    <w:rsid w:val="00021E79"/>
    <w:rsid w:val="0002408E"/>
    <w:rsid w:val="00025E9E"/>
    <w:rsid w:val="00027220"/>
    <w:rsid w:val="0003269F"/>
    <w:rsid w:val="000367D2"/>
    <w:rsid w:val="00036C59"/>
    <w:rsid w:val="0003769D"/>
    <w:rsid w:val="00043DF2"/>
    <w:rsid w:val="00046BA5"/>
    <w:rsid w:val="00050975"/>
    <w:rsid w:val="000514F8"/>
    <w:rsid w:val="00051EB2"/>
    <w:rsid w:val="00051F82"/>
    <w:rsid w:val="00055A1D"/>
    <w:rsid w:val="000610F3"/>
    <w:rsid w:val="000635B0"/>
    <w:rsid w:val="00063EE7"/>
    <w:rsid w:val="00066C20"/>
    <w:rsid w:val="0007177A"/>
    <w:rsid w:val="00073A5F"/>
    <w:rsid w:val="00074BB2"/>
    <w:rsid w:val="000758D7"/>
    <w:rsid w:val="00075CA1"/>
    <w:rsid w:val="00075F2D"/>
    <w:rsid w:val="00082B55"/>
    <w:rsid w:val="00090507"/>
    <w:rsid w:val="000926EB"/>
    <w:rsid w:val="00094F25"/>
    <w:rsid w:val="000A2238"/>
    <w:rsid w:val="000A5E14"/>
    <w:rsid w:val="000A67BD"/>
    <w:rsid w:val="000A7AE0"/>
    <w:rsid w:val="000B481D"/>
    <w:rsid w:val="000B70F4"/>
    <w:rsid w:val="000C0A9F"/>
    <w:rsid w:val="000C2799"/>
    <w:rsid w:val="000C36D8"/>
    <w:rsid w:val="000C6281"/>
    <w:rsid w:val="000D2AF3"/>
    <w:rsid w:val="000D5A79"/>
    <w:rsid w:val="000D7B12"/>
    <w:rsid w:val="000E4FE3"/>
    <w:rsid w:val="000F0FD3"/>
    <w:rsid w:val="000F37B8"/>
    <w:rsid w:val="000F388F"/>
    <w:rsid w:val="000F4E45"/>
    <w:rsid w:val="000F4F61"/>
    <w:rsid w:val="000F5A7D"/>
    <w:rsid w:val="000F5C32"/>
    <w:rsid w:val="001005CB"/>
    <w:rsid w:val="00100B87"/>
    <w:rsid w:val="0010409E"/>
    <w:rsid w:val="0010597A"/>
    <w:rsid w:val="001078AE"/>
    <w:rsid w:val="00111591"/>
    <w:rsid w:val="001158E6"/>
    <w:rsid w:val="0011627E"/>
    <w:rsid w:val="00117116"/>
    <w:rsid w:val="001236BA"/>
    <w:rsid w:val="00126149"/>
    <w:rsid w:val="00126647"/>
    <w:rsid w:val="001373FD"/>
    <w:rsid w:val="00140719"/>
    <w:rsid w:val="00151E9A"/>
    <w:rsid w:val="001521CC"/>
    <w:rsid w:val="00154EEE"/>
    <w:rsid w:val="001570DD"/>
    <w:rsid w:val="00162A95"/>
    <w:rsid w:val="00164604"/>
    <w:rsid w:val="0017034E"/>
    <w:rsid w:val="00170D70"/>
    <w:rsid w:val="00173C96"/>
    <w:rsid w:val="001741FA"/>
    <w:rsid w:val="00175E46"/>
    <w:rsid w:val="001770E1"/>
    <w:rsid w:val="0017796F"/>
    <w:rsid w:val="001817BC"/>
    <w:rsid w:val="00190B2F"/>
    <w:rsid w:val="001A7A42"/>
    <w:rsid w:val="001B3C53"/>
    <w:rsid w:val="001C3770"/>
    <w:rsid w:val="001C37B6"/>
    <w:rsid w:val="001C4E7A"/>
    <w:rsid w:val="001C7CF3"/>
    <w:rsid w:val="001D1549"/>
    <w:rsid w:val="001D205B"/>
    <w:rsid w:val="001D26BC"/>
    <w:rsid w:val="001D3502"/>
    <w:rsid w:val="001D41A9"/>
    <w:rsid w:val="001D6E74"/>
    <w:rsid w:val="001D7222"/>
    <w:rsid w:val="001E7492"/>
    <w:rsid w:val="001F0BD0"/>
    <w:rsid w:val="001F2C88"/>
    <w:rsid w:val="001F2E84"/>
    <w:rsid w:val="00205A2E"/>
    <w:rsid w:val="00207128"/>
    <w:rsid w:val="0021067B"/>
    <w:rsid w:val="00213B6E"/>
    <w:rsid w:val="00215BFD"/>
    <w:rsid w:val="00217D13"/>
    <w:rsid w:val="00221132"/>
    <w:rsid w:val="00222B14"/>
    <w:rsid w:val="00224922"/>
    <w:rsid w:val="00227EF0"/>
    <w:rsid w:val="0023725A"/>
    <w:rsid w:val="00237F03"/>
    <w:rsid w:val="00243FC8"/>
    <w:rsid w:val="00246526"/>
    <w:rsid w:val="00254181"/>
    <w:rsid w:val="002603EB"/>
    <w:rsid w:val="00265118"/>
    <w:rsid w:val="00266802"/>
    <w:rsid w:val="00266B24"/>
    <w:rsid w:val="00270C8C"/>
    <w:rsid w:val="00275C08"/>
    <w:rsid w:val="0027654F"/>
    <w:rsid w:val="0028097A"/>
    <w:rsid w:val="00285E34"/>
    <w:rsid w:val="00290554"/>
    <w:rsid w:val="0029124E"/>
    <w:rsid w:val="00292343"/>
    <w:rsid w:val="00292444"/>
    <w:rsid w:val="00292CA2"/>
    <w:rsid w:val="002941E0"/>
    <w:rsid w:val="002975D4"/>
    <w:rsid w:val="002A3E11"/>
    <w:rsid w:val="002A4182"/>
    <w:rsid w:val="002B19CC"/>
    <w:rsid w:val="002B256F"/>
    <w:rsid w:val="002C4B97"/>
    <w:rsid w:val="002C75D0"/>
    <w:rsid w:val="002D0296"/>
    <w:rsid w:val="002D1248"/>
    <w:rsid w:val="002D1274"/>
    <w:rsid w:val="002D3A5B"/>
    <w:rsid w:val="002D3E9F"/>
    <w:rsid w:val="002D4812"/>
    <w:rsid w:val="002D5B1B"/>
    <w:rsid w:val="002D7174"/>
    <w:rsid w:val="002D7CB8"/>
    <w:rsid w:val="002E18E5"/>
    <w:rsid w:val="002E4F5C"/>
    <w:rsid w:val="002E7DE7"/>
    <w:rsid w:val="002F7F54"/>
    <w:rsid w:val="0030387B"/>
    <w:rsid w:val="00305063"/>
    <w:rsid w:val="00305367"/>
    <w:rsid w:val="0031070C"/>
    <w:rsid w:val="0031294A"/>
    <w:rsid w:val="00312EA8"/>
    <w:rsid w:val="00314047"/>
    <w:rsid w:val="00323436"/>
    <w:rsid w:val="00323DC5"/>
    <w:rsid w:val="00325B88"/>
    <w:rsid w:val="003268ED"/>
    <w:rsid w:val="0033180B"/>
    <w:rsid w:val="003332E9"/>
    <w:rsid w:val="00341FCA"/>
    <w:rsid w:val="003437E6"/>
    <w:rsid w:val="00343FFD"/>
    <w:rsid w:val="003548E1"/>
    <w:rsid w:val="003603F7"/>
    <w:rsid w:val="0036352E"/>
    <w:rsid w:val="00366B30"/>
    <w:rsid w:val="00367928"/>
    <w:rsid w:val="00367BD1"/>
    <w:rsid w:val="0037193A"/>
    <w:rsid w:val="0037729A"/>
    <w:rsid w:val="00380FFC"/>
    <w:rsid w:val="0038176A"/>
    <w:rsid w:val="00383274"/>
    <w:rsid w:val="00383D54"/>
    <w:rsid w:val="00387933"/>
    <w:rsid w:val="003A1AEC"/>
    <w:rsid w:val="003A3051"/>
    <w:rsid w:val="003A73BE"/>
    <w:rsid w:val="003B2E06"/>
    <w:rsid w:val="003B5CA1"/>
    <w:rsid w:val="003C4FA4"/>
    <w:rsid w:val="003C619A"/>
    <w:rsid w:val="003C62C8"/>
    <w:rsid w:val="003D292A"/>
    <w:rsid w:val="003D2BD9"/>
    <w:rsid w:val="003D500C"/>
    <w:rsid w:val="003D5AF6"/>
    <w:rsid w:val="003D60E9"/>
    <w:rsid w:val="003E167F"/>
    <w:rsid w:val="003F2CBA"/>
    <w:rsid w:val="003F4263"/>
    <w:rsid w:val="003F5C57"/>
    <w:rsid w:val="00400887"/>
    <w:rsid w:val="00404A25"/>
    <w:rsid w:val="0041160C"/>
    <w:rsid w:val="00414B1F"/>
    <w:rsid w:val="00415B0C"/>
    <w:rsid w:val="004215D2"/>
    <w:rsid w:val="004228BB"/>
    <w:rsid w:val="00424B27"/>
    <w:rsid w:val="00424D35"/>
    <w:rsid w:val="00427C0F"/>
    <w:rsid w:val="004406B5"/>
    <w:rsid w:val="0044191C"/>
    <w:rsid w:val="004425FE"/>
    <w:rsid w:val="00446396"/>
    <w:rsid w:val="00446848"/>
    <w:rsid w:val="004520E0"/>
    <w:rsid w:val="00454B1B"/>
    <w:rsid w:val="00455E4C"/>
    <w:rsid w:val="00457465"/>
    <w:rsid w:val="00457826"/>
    <w:rsid w:val="00470AFD"/>
    <w:rsid w:val="00473683"/>
    <w:rsid w:val="0047788C"/>
    <w:rsid w:val="00481E2F"/>
    <w:rsid w:val="00483EFC"/>
    <w:rsid w:val="00491282"/>
    <w:rsid w:val="00491485"/>
    <w:rsid w:val="00491A2B"/>
    <w:rsid w:val="00495343"/>
    <w:rsid w:val="004A36AE"/>
    <w:rsid w:val="004A497F"/>
    <w:rsid w:val="004A4B98"/>
    <w:rsid w:val="004A54E3"/>
    <w:rsid w:val="004A6992"/>
    <w:rsid w:val="004A6BD9"/>
    <w:rsid w:val="004A6FC7"/>
    <w:rsid w:val="004C0E3C"/>
    <w:rsid w:val="004C1F12"/>
    <w:rsid w:val="004C3884"/>
    <w:rsid w:val="004C3A53"/>
    <w:rsid w:val="004C60FA"/>
    <w:rsid w:val="004D0401"/>
    <w:rsid w:val="004D0861"/>
    <w:rsid w:val="004D2525"/>
    <w:rsid w:val="004D4D54"/>
    <w:rsid w:val="004D766E"/>
    <w:rsid w:val="004E6ECB"/>
    <w:rsid w:val="004E7043"/>
    <w:rsid w:val="004E733A"/>
    <w:rsid w:val="004F220A"/>
    <w:rsid w:val="004F2ED8"/>
    <w:rsid w:val="004F6A68"/>
    <w:rsid w:val="0050045E"/>
    <w:rsid w:val="00502497"/>
    <w:rsid w:val="00504ADA"/>
    <w:rsid w:val="00510289"/>
    <w:rsid w:val="00510D29"/>
    <w:rsid w:val="005170AD"/>
    <w:rsid w:val="005206DE"/>
    <w:rsid w:val="0052095A"/>
    <w:rsid w:val="00521E9E"/>
    <w:rsid w:val="00526FA8"/>
    <w:rsid w:val="00531BF5"/>
    <w:rsid w:val="005326D2"/>
    <w:rsid w:val="00532C75"/>
    <w:rsid w:val="00534BDA"/>
    <w:rsid w:val="005358E3"/>
    <w:rsid w:val="00540078"/>
    <w:rsid w:val="00546379"/>
    <w:rsid w:val="0055314E"/>
    <w:rsid w:val="00554C9D"/>
    <w:rsid w:val="0055539A"/>
    <w:rsid w:val="00555E55"/>
    <w:rsid w:val="0055727E"/>
    <w:rsid w:val="00557B10"/>
    <w:rsid w:val="00560A4D"/>
    <w:rsid w:val="005623F7"/>
    <w:rsid w:val="005641C6"/>
    <w:rsid w:val="00565B86"/>
    <w:rsid w:val="0057295C"/>
    <w:rsid w:val="00573965"/>
    <w:rsid w:val="005766BD"/>
    <w:rsid w:val="00577B2B"/>
    <w:rsid w:val="00577D59"/>
    <w:rsid w:val="00580AFF"/>
    <w:rsid w:val="00583396"/>
    <w:rsid w:val="00587A91"/>
    <w:rsid w:val="00590611"/>
    <w:rsid w:val="00597788"/>
    <w:rsid w:val="005A0AE8"/>
    <w:rsid w:val="005A3C54"/>
    <w:rsid w:val="005A40A3"/>
    <w:rsid w:val="005A5EAD"/>
    <w:rsid w:val="005A65A8"/>
    <w:rsid w:val="005A692C"/>
    <w:rsid w:val="005A773B"/>
    <w:rsid w:val="005B3499"/>
    <w:rsid w:val="005B4CC3"/>
    <w:rsid w:val="005B59FC"/>
    <w:rsid w:val="005B7898"/>
    <w:rsid w:val="005B7E16"/>
    <w:rsid w:val="005C364A"/>
    <w:rsid w:val="005C71FE"/>
    <w:rsid w:val="005D0EF5"/>
    <w:rsid w:val="005E093A"/>
    <w:rsid w:val="005E242D"/>
    <w:rsid w:val="005E2AB6"/>
    <w:rsid w:val="005E547F"/>
    <w:rsid w:val="005E68DE"/>
    <w:rsid w:val="005E7705"/>
    <w:rsid w:val="005F0350"/>
    <w:rsid w:val="005F1843"/>
    <w:rsid w:val="005F1DE8"/>
    <w:rsid w:val="005F6906"/>
    <w:rsid w:val="006028B1"/>
    <w:rsid w:val="006031FB"/>
    <w:rsid w:val="00603B66"/>
    <w:rsid w:val="00611241"/>
    <w:rsid w:val="00617330"/>
    <w:rsid w:val="006235D2"/>
    <w:rsid w:val="00625764"/>
    <w:rsid w:val="00627316"/>
    <w:rsid w:val="006314BB"/>
    <w:rsid w:val="0063301F"/>
    <w:rsid w:val="00635287"/>
    <w:rsid w:val="0064037C"/>
    <w:rsid w:val="0064184A"/>
    <w:rsid w:val="00642498"/>
    <w:rsid w:val="006473B5"/>
    <w:rsid w:val="0065007E"/>
    <w:rsid w:val="0065212E"/>
    <w:rsid w:val="0065238A"/>
    <w:rsid w:val="00652DA3"/>
    <w:rsid w:val="00653A25"/>
    <w:rsid w:val="006616CE"/>
    <w:rsid w:val="00661BDA"/>
    <w:rsid w:val="00663183"/>
    <w:rsid w:val="00665862"/>
    <w:rsid w:val="006665F3"/>
    <w:rsid w:val="00672127"/>
    <w:rsid w:val="0068015D"/>
    <w:rsid w:val="006841F8"/>
    <w:rsid w:val="00684A7B"/>
    <w:rsid w:val="00690BEF"/>
    <w:rsid w:val="006956CA"/>
    <w:rsid w:val="006A0E22"/>
    <w:rsid w:val="006A1A62"/>
    <w:rsid w:val="006A3307"/>
    <w:rsid w:val="006A41C9"/>
    <w:rsid w:val="006B0AA3"/>
    <w:rsid w:val="006B29F9"/>
    <w:rsid w:val="006B3FA9"/>
    <w:rsid w:val="006C5683"/>
    <w:rsid w:val="006D07E7"/>
    <w:rsid w:val="006D1BBE"/>
    <w:rsid w:val="006E77F5"/>
    <w:rsid w:val="006F0E0E"/>
    <w:rsid w:val="006F52BC"/>
    <w:rsid w:val="006F74BB"/>
    <w:rsid w:val="007006F9"/>
    <w:rsid w:val="007013C6"/>
    <w:rsid w:val="00703C1C"/>
    <w:rsid w:val="0070440C"/>
    <w:rsid w:val="00704648"/>
    <w:rsid w:val="0070486E"/>
    <w:rsid w:val="0070697C"/>
    <w:rsid w:val="0070704D"/>
    <w:rsid w:val="00713A8F"/>
    <w:rsid w:val="00715400"/>
    <w:rsid w:val="00722591"/>
    <w:rsid w:val="00725F28"/>
    <w:rsid w:val="0072694D"/>
    <w:rsid w:val="007269E5"/>
    <w:rsid w:val="007312AF"/>
    <w:rsid w:val="0073168F"/>
    <w:rsid w:val="007322DF"/>
    <w:rsid w:val="0073531B"/>
    <w:rsid w:val="00737381"/>
    <w:rsid w:val="00737EA4"/>
    <w:rsid w:val="00744F3C"/>
    <w:rsid w:val="00745935"/>
    <w:rsid w:val="00746F14"/>
    <w:rsid w:val="0075006A"/>
    <w:rsid w:val="0075013B"/>
    <w:rsid w:val="00753403"/>
    <w:rsid w:val="00754141"/>
    <w:rsid w:val="007563EA"/>
    <w:rsid w:val="007572AC"/>
    <w:rsid w:val="00761F55"/>
    <w:rsid w:val="0076241B"/>
    <w:rsid w:val="00764361"/>
    <w:rsid w:val="00767C67"/>
    <w:rsid w:val="00767E30"/>
    <w:rsid w:val="00770064"/>
    <w:rsid w:val="00771887"/>
    <w:rsid w:val="007738C6"/>
    <w:rsid w:val="00780901"/>
    <w:rsid w:val="0078115B"/>
    <w:rsid w:val="00781383"/>
    <w:rsid w:val="007825BA"/>
    <w:rsid w:val="00782F4F"/>
    <w:rsid w:val="0078590D"/>
    <w:rsid w:val="0078736B"/>
    <w:rsid w:val="00790932"/>
    <w:rsid w:val="007913CB"/>
    <w:rsid w:val="007954F8"/>
    <w:rsid w:val="00797623"/>
    <w:rsid w:val="007A1923"/>
    <w:rsid w:val="007A4AC7"/>
    <w:rsid w:val="007A5062"/>
    <w:rsid w:val="007A68FA"/>
    <w:rsid w:val="007A6A64"/>
    <w:rsid w:val="007B2EC7"/>
    <w:rsid w:val="007B44BC"/>
    <w:rsid w:val="007B74F3"/>
    <w:rsid w:val="007C001E"/>
    <w:rsid w:val="007C0B7D"/>
    <w:rsid w:val="007C522D"/>
    <w:rsid w:val="007D1C2B"/>
    <w:rsid w:val="007D228B"/>
    <w:rsid w:val="007D5AE7"/>
    <w:rsid w:val="007E15EE"/>
    <w:rsid w:val="007E2BB0"/>
    <w:rsid w:val="007E6707"/>
    <w:rsid w:val="007E6C8E"/>
    <w:rsid w:val="007E791F"/>
    <w:rsid w:val="007F1E1C"/>
    <w:rsid w:val="0080038B"/>
    <w:rsid w:val="00801D64"/>
    <w:rsid w:val="00802176"/>
    <w:rsid w:val="00804438"/>
    <w:rsid w:val="0081081E"/>
    <w:rsid w:val="008135BA"/>
    <w:rsid w:val="00813AB7"/>
    <w:rsid w:val="00813E25"/>
    <w:rsid w:val="0081510B"/>
    <w:rsid w:val="008223B3"/>
    <w:rsid w:val="00822CD5"/>
    <w:rsid w:val="008270B8"/>
    <w:rsid w:val="008314ED"/>
    <w:rsid w:val="00831CC5"/>
    <w:rsid w:val="00833BB9"/>
    <w:rsid w:val="008341C7"/>
    <w:rsid w:val="008350D0"/>
    <w:rsid w:val="00836031"/>
    <w:rsid w:val="00836835"/>
    <w:rsid w:val="00836E7E"/>
    <w:rsid w:val="00841752"/>
    <w:rsid w:val="008445A7"/>
    <w:rsid w:val="00850DB1"/>
    <w:rsid w:val="00851979"/>
    <w:rsid w:val="0085310E"/>
    <w:rsid w:val="00856A61"/>
    <w:rsid w:val="00863778"/>
    <w:rsid w:val="008671DF"/>
    <w:rsid w:val="0087179C"/>
    <w:rsid w:val="00872D83"/>
    <w:rsid w:val="008777DC"/>
    <w:rsid w:val="0088045C"/>
    <w:rsid w:val="008804EC"/>
    <w:rsid w:val="00882705"/>
    <w:rsid w:val="008830A8"/>
    <w:rsid w:val="008854E1"/>
    <w:rsid w:val="00885F0E"/>
    <w:rsid w:val="00886D93"/>
    <w:rsid w:val="00891C13"/>
    <w:rsid w:val="008927FE"/>
    <w:rsid w:val="00896E18"/>
    <w:rsid w:val="008A327A"/>
    <w:rsid w:val="008B0583"/>
    <w:rsid w:val="008B0B6C"/>
    <w:rsid w:val="008B7B35"/>
    <w:rsid w:val="008C09CC"/>
    <w:rsid w:val="008C195F"/>
    <w:rsid w:val="008C3706"/>
    <w:rsid w:val="008C7917"/>
    <w:rsid w:val="008D3F77"/>
    <w:rsid w:val="008D4D6B"/>
    <w:rsid w:val="008D51BA"/>
    <w:rsid w:val="008E0B14"/>
    <w:rsid w:val="008E0EB4"/>
    <w:rsid w:val="008E2258"/>
    <w:rsid w:val="008E65EB"/>
    <w:rsid w:val="008E6D6A"/>
    <w:rsid w:val="008E7719"/>
    <w:rsid w:val="008F20A4"/>
    <w:rsid w:val="008F3007"/>
    <w:rsid w:val="008F3059"/>
    <w:rsid w:val="008F3F58"/>
    <w:rsid w:val="008F592A"/>
    <w:rsid w:val="008F5A11"/>
    <w:rsid w:val="00906A0F"/>
    <w:rsid w:val="00906A69"/>
    <w:rsid w:val="0091183C"/>
    <w:rsid w:val="009137AE"/>
    <w:rsid w:val="00914188"/>
    <w:rsid w:val="00914522"/>
    <w:rsid w:val="00915397"/>
    <w:rsid w:val="0091579D"/>
    <w:rsid w:val="00915919"/>
    <w:rsid w:val="0091713B"/>
    <w:rsid w:val="00917F50"/>
    <w:rsid w:val="00923E9C"/>
    <w:rsid w:val="0092598D"/>
    <w:rsid w:val="009263C5"/>
    <w:rsid w:val="009265E3"/>
    <w:rsid w:val="00926D4F"/>
    <w:rsid w:val="00927DDE"/>
    <w:rsid w:val="00933718"/>
    <w:rsid w:val="009360F9"/>
    <w:rsid w:val="00936AA8"/>
    <w:rsid w:val="00950CE6"/>
    <w:rsid w:val="00950F0D"/>
    <w:rsid w:val="00954F5A"/>
    <w:rsid w:val="00955DEF"/>
    <w:rsid w:val="00956B1A"/>
    <w:rsid w:val="00960177"/>
    <w:rsid w:val="0096048D"/>
    <w:rsid w:val="00961B25"/>
    <w:rsid w:val="00961B91"/>
    <w:rsid w:val="0096274D"/>
    <w:rsid w:val="00962E0E"/>
    <w:rsid w:val="009656D6"/>
    <w:rsid w:val="00966645"/>
    <w:rsid w:val="00967060"/>
    <w:rsid w:val="00967C7D"/>
    <w:rsid w:val="00971562"/>
    <w:rsid w:val="009809BA"/>
    <w:rsid w:val="00981F16"/>
    <w:rsid w:val="00982FF9"/>
    <w:rsid w:val="009845A6"/>
    <w:rsid w:val="00984B4B"/>
    <w:rsid w:val="00985396"/>
    <w:rsid w:val="00990481"/>
    <w:rsid w:val="00996D2B"/>
    <w:rsid w:val="00997EBE"/>
    <w:rsid w:val="009A31F0"/>
    <w:rsid w:val="009A5D7F"/>
    <w:rsid w:val="009A70FF"/>
    <w:rsid w:val="009A71AC"/>
    <w:rsid w:val="009B0CC3"/>
    <w:rsid w:val="009B1EFC"/>
    <w:rsid w:val="009B1F46"/>
    <w:rsid w:val="009B2D4B"/>
    <w:rsid w:val="009B383E"/>
    <w:rsid w:val="009B5368"/>
    <w:rsid w:val="009C2707"/>
    <w:rsid w:val="009C2847"/>
    <w:rsid w:val="009E069A"/>
    <w:rsid w:val="009E6BB8"/>
    <w:rsid w:val="009E6EFF"/>
    <w:rsid w:val="009F3B1C"/>
    <w:rsid w:val="009F40A4"/>
    <w:rsid w:val="009F4C71"/>
    <w:rsid w:val="009F5460"/>
    <w:rsid w:val="009F70AB"/>
    <w:rsid w:val="00A02B5D"/>
    <w:rsid w:val="00A04717"/>
    <w:rsid w:val="00A04BE9"/>
    <w:rsid w:val="00A065F4"/>
    <w:rsid w:val="00A1294C"/>
    <w:rsid w:val="00A24F0C"/>
    <w:rsid w:val="00A25C09"/>
    <w:rsid w:val="00A3184D"/>
    <w:rsid w:val="00A31C5F"/>
    <w:rsid w:val="00A34FD4"/>
    <w:rsid w:val="00A36445"/>
    <w:rsid w:val="00A36C3E"/>
    <w:rsid w:val="00A37C8B"/>
    <w:rsid w:val="00A4138C"/>
    <w:rsid w:val="00A41681"/>
    <w:rsid w:val="00A43ABF"/>
    <w:rsid w:val="00A440D6"/>
    <w:rsid w:val="00A456EB"/>
    <w:rsid w:val="00A46A0A"/>
    <w:rsid w:val="00A477FC"/>
    <w:rsid w:val="00A47EF3"/>
    <w:rsid w:val="00A511AC"/>
    <w:rsid w:val="00A6079B"/>
    <w:rsid w:val="00A62FE0"/>
    <w:rsid w:val="00A642FE"/>
    <w:rsid w:val="00A716D4"/>
    <w:rsid w:val="00A72CF5"/>
    <w:rsid w:val="00A77753"/>
    <w:rsid w:val="00A82CFA"/>
    <w:rsid w:val="00A840CC"/>
    <w:rsid w:val="00A84434"/>
    <w:rsid w:val="00A84F0E"/>
    <w:rsid w:val="00A84F90"/>
    <w:rsid w:val="00A86B7E"/>
    <w:rsid w:val="00A9115F"/>
    <w:rsid w:val="00A91BE8"/>
    <w:rsid w:val="00A9629D"/>
    <w:rsid w:val="00A96DF4"/>
    <w:rsid w:val="00AA0ACD"/>
    <w:rsid w:val="00AA0B05"/>
    <w:rsid w:val="00AA42B5"/>
    <w:rsid w:val="00AB2B95"/>
    <w:rsid w:val="00AC2202"/>
    <w:rsid w:val="00AC5276"/>
    <w:rsid w:val="00AC6132"/>
    <w:rsid w:val="00AC7C7A"/>
    <w:rsid w:val="00AD1B78"/>
    <w:rsid w:val="00AD2F79"/>
    <w:rsid w:val="00AD43ED"/>
    <w:rsid w:val="00AE0873"/>
    <w:rsid w:val="00AE0EE0"/>
    <w:rsid w:val="00AE12C5"/>
    <w:rsid w:val="00AE14A8"/>
    <w:rsid w:val="00AE15F8"/>
    <w:rsid w:val="00AE24DC"/>
    <w:rsid w:val="00AE35C1"/>
    <w:rsid w:val="00AE4142"/>
    <w:rsid w:val="00AE5B3B"/>
    <w:rsid w:val="00AF0CF4"/>
    <w:rsid w:val="00AF1E3E"/>
    <w:rsid w:val="00AF2B2C"/>
    <w:rsid w:val="00AF300F"/>
    <w:rsid w:val="00AF403A"/>
    <w:rsid w:val="00AF594C"/>
    <w:rsid w:val="00B01546"/>
    <w:rsid w:val="00B07A9D"/>
    <w:rsid w:val="00B1012E"/>
    <w:rsid w:val="00B13C0B"/>
    <w:rsid w:val="00B14005"/>
    <w:rsid w:val="00B17078"/>
    <w:rsid w:val="00B17758"/>
    <w:rsid w:val="00B25443"/>
    <w:rsid w:val="00B343FA"/>
    <w:rsid w:val="00B41506"/>
    <w:rsid w:val="00B419EF"/>
    <w:rsid w:val="00B44E88"/>
    <w:rsid w:val="00B51D33"/>
    <w:rsid w:val="00B527A8"/>
    <w:rsid w:val="00B5477E"/>
    <w:rsid w:val="00B606E6"/>
    <w:rsid w:val="00B63861"/>
    <w:rsid w:val="00B65240"/>
    <w:rsid w:val="00B65DBE"/>
    <w:rsid w:val="00B66DD5"/>
    <w:rsid w:val="00B677C4"/>
    <w:rsid w:val="00B724AF"/>
    <w:rsid w:val="00B75337"/>
    <w:rsid w:val="00B75697"/>
    <w:rsid w:val="00B75B6D"/>
    <w:rsid w:val="00B82721"/>
    <w:rsid w:val="00B83F69"/>
    <w:rsid w:val="00B872D3"/>
    <w:rsid w:val="00B874D8"/>
    <w:rsid w:val="00B936B1"/>
    <w:rsid w:val="00B9635B"/>
    <w:rsid w:val="00BA1BDA"/>
    <w:rsid w:val="00BA248F"/>
    <w:rsid w:val="00BA3C8B"/>
    <w:rsid w:val="00BA490A"/>
    <w:rsid w:val="00BA4B64"/>
    <w:rsid w:val="00BA6C26"/>
    <w:rsid w:val="00BB6728"/>
    <w:rsid w:val="00BC19A4"/>
    <w:rsid w:val="00BC20A7"/>
    <w:rsid w:val="00BC2D46"/>
    <w:rsid w:val="00BC6608"/>
    <w:rsid w:val="00BD2939"/>
    <w:rsid w:val="00BD4ECE"/>
    <w:rsid w:val="00BD5492"/>
    <w:rsid w:val="00BD585A"/>
    <w:rsid w:val="00BD5CF4"/>
    <w:rsid w:val="00BE732E"/>
    <w:rsid w:val="00BE77C3"/>
    <w:rsid w:val="00BF39EE"/>
    <w:rsid w:val="00BF514E"/>
    <w:rsid w:val="00BF6BBD"/>
    <w:rsid w:val="00BF74B3"/>
    <w:rsid w:val="00C02AB3"/>
    <w:rsid w:val="00C04F9D"/>
    <w:rsid w:val="00C12F7F"/>
    <w:rsid w:val="00C13F51"/>
    <w:rsid w:val="00C16E6C"/>
    <w:rsid w:val="00C20BE9"/>
    <w:rsid w:val="00C20DD6"/>
    <w:rsid w:val="00C246AD"/>
    <w:rsid w:val="00C25937"/>
    <w:rsid w:val="00C27E4E"/>
    <w:rsid w:val="00C30DF5"/>
    <w:rsid w:val="00C36CA0"/>
    <w:rsid w:val="00C40494"/>
    <w:rsid w:val="00C4111A"/>
    <w:rsid w:val="00C44B39"/>
    <w:rsid w:val="00C4545F"/>
    <w:rsid w:val="00C52376"/>
    <w:rsid w:val="00C5453F"/>
    <w:rsid w:val="00C54CB0"/>
    <w:rsid w:val="00C55A86"/>
    <w:rsid w:val="00C57B63"/>
    <w:rsid w:val="00C658AD"/>
    <w:rsid w:val="00C67386"/>
    <w:rsid w:val="00C74AFF"/>
    <w:rsid w:val="00C76691"/>
    <w:rsid w:val="00C76919"/>
    <w:rsid w:val="00C83AE7"/>
    <w:rsid w:val="00C848A8"/>
    <w:rsid w:val="00C86414"/>
    <w:rsid w:val="00C8651B"/>
    <w:rsid w:val="00C874AF"/>
    <w:rsid w:val="00C87F18"/>
    <w:rsid w:val="00C9262E"/>
    <w:rsid w:val="00C961F4"/>
    <w:rsid w:val="00C9707C"/>
    <w:rsid w:val="00CA135A"/>
    <w:rsid w:val="00CB00F5"/>
    <w:rsid w:val="00CB1124"/>
    <w:rsid w:val="00CB133F"/>
    <w:rsid w:val="00CB7E16"/>
    <w:rsid w:val="00CC03E6"/>
    <w:rsid w:val="00CC22E7"/>
    <w:rsid w:val="00CC4029"/>
    <w:rsid w:val="00CD2945"/>
    <w:rsid w:val="00CD4D4E"/>
    <w:rsid w:val="00CE5A61"/>
    <w:rsid w:val="00CF1136"/>
    <w:rsid w:val="00CF15C0"/>
    <w:rsid w:val="00CF4462"/>
    <w:rsid w:val="00CF49F9"/>
    <w:rsid w:val="00CF585A"/>
    <w:rsid w:val="00CF5DD9"/>
    <w:rsid w:val="00CF7064"/>
    <w:rsid w:val="00D00838"/>
    <w:rsid w:val="00D008C6"/>
    <w:rsid w:val="00D03886"/>
    <w:rsid w:val="00D06E8E"/>
    <w:rsid w:val="00D143B3"/>
    <w:rsid w:val="00D2180E"/>
    <w:rsid w:val="00D21B6A"/>
    <w:rsid w:val="00D231F8"/>
    <w:rsid w:val="00D320EB"/>
    <w:rsid w:val="00D34B48"/>
    <w:rsid w:val="00D419C3"/>
    <w:rsid w:val="00D42DAB"/>
    <w:rsid w:val="00D43D26"/>
    <w:rsid w:val="00D45D79"/>
    <w:rsid w:val="00D461E5"/>
    <w:rsid w:val="00D50D17"/>
    <w:rsid w:val="00D531D4"/>
    <w:rsid w:val="00D536C4"/>
    <w:rsid w:val="00D63353"/>
    <w:rsid w:val="00D6767C"/>
    <w:rsid w:val="00D70322"/>
    <w:rsid w:val="00D709E1"/>
    <w:rsid w:val="00D74D57"/>
    <w:rsid w:val="00D766F9"/>
    <w:rsid w:val="00D84FC9"/>
    <w:rsid w:val="00D8626C"/>
    <w:rsid w:val="00D8645C"/>
    <w:rsid w:val="00D90198"/>
    <w:rsid w:val="00D90625"/>
    <w:rsid w:val="00D93AE5"/>
    <w:rsid w:val="00D967D5"/>
    <w:rsid w:val="00DA16CC"/>
    <w:rsid w:val="00DA2C16"/>
    <w:rsid w:val="00DA4DA5"/>
    <w:rsid w:val="00DA5B2B"/>
    <w:rsid w:val="00DB26DC"/>
    <w:rsid w:val="00DB54D7"/>
    <w:rsid w:val="00DB60E5"/>
    <w:rsid w:val="00DB7954"/>
    <w:rsid w:val="00DB7C19"/>
    <w:rsid w:val="00DC196F"/>
    <w:rsid w:val="00DC5BA4"/>
    <w:rsid w:val="00DD0D9C"/>
    <w:rsid w:val="00DD282E"/>
    <w:rsid w:val="00DD4D1F"/>
    <w:rsid w:val="00DE2654"/>
    <w:rsid w:val="00DE3A0D"/>
    <w:rsid w:val="00DE7019"/>
    <w:rsid w:val="00DF1098"/>
    <w:rsid w:val="00DF1569"/>
    <w:rsid w:val="00DF332F"/>
    <w:rsid w:val="00DF40F6"/>
    <w:rsid w:val="00DF4EFD"/>
    <w:rsid w:val="00DF5A1B"/>
    <w:rsid w:val="00E00FDF"/>
    <w:rsid w:val="00E058BB"/>
    <w:rsid w:val="00E07537"/>
    <w:rsid w:val="00E10A59"/>
    <w:rsid w:val="00E14268"/>
    <w:rsid w:val="00E144A4"/>
    <w:rsid w:val="00E17A0E"/>
    <w:rsid w:val="00E22044"/>
    <w:rsid w:val="00E232A0"/>
    <w:rsid w:val="00E24878"/>
    <w:rsid w:val="00E2493E"/>
    <w:rsid w:val="00E263AF"/>
    <w:rsid w:val="00E26BD9"/>
    <w:rsid w:val="00E30854"/>
    <w:rsid w:val="00E323EB"/>
    <w:rsid w:val="00E33038"/>
    <w:rsid w:val="00E3381D"/>
    <w:rsid w:val="00E345EF"/>
    <w:rsid w:val="00E37986"/>
    <w:rsid w:val="00E40566"/>
    <w:rsid w:val="00E41769"/>
    <w:rsid w:val="00E41F9E"/>
    <w:rsid w:val="00E5047D"/>
    <w:rsid w:val="00E523D5"/>
    <w:rsid w:val="00E60789"/>
    <w:rsid w:val="00E61338"/>
    <w:rsid w:val="00E63A65"/>
    <w:rsid w:val="00E66667"/>
    <w:rsid w:val="00E668A9"/>
    <w:rsid w:val="00E715CB"/>
    <w:rsid w:val="00E73D75"/>
    <w:rsid w:val="00E77AD6"/>
    <w:rsid w:val="00E81888"/>
    <w:rsid w:val="00E8637C"/>
    <w:rsid w:val="00E94442"/>
    <w:rsid w:val="00E954E8"/>
    <w:rsid w:val="00EA0F2C"/>
    <w:rsid w:val="00EA26BD"/>
    <w:rsid w:val="00EA6952"/>
    <w:rsid w:val="00EB0F0B"/>
    <w:rsid w:val="00EC35D3"/>
    <w:rsid w:val="00EC53FC"/>
    <w:rsid w:val="00EC665B"/>
    <w:rsid w:val="00ED43F5"/>
    <w:rsid w:val="00ED476A"/>
    <w:rsid w:val="00ED6E49"/>
    <w:rsid w:val="00EE0599"/>
    <w:rsid w:val="00EE1C86"/>
    <w:rsid w:val="00EE4617"/>
    <w:rsid w:val="00EE5E6F"/>
    <w:rsid w:val="00EE7A45"/>
    <w:rsid w:val="00EF5FFC"/>
    <w:rsid w:val="00F01E88"/>
    <w:rsid w:val="00F044B7"/>
    <w:rsid w:val="00F046BC"/>
    <w:rsid w:val="00F05DF6"/>
    <w:rsid w:val="00F06F97"/>
    <w:rsid w:val="00F07357"/>
    <w:rsid w:val="00F1348D"/>
    <w:rsid w:val="00F20F7A"/>
    <w:rsid w:val="00F20F81"/>
    <w:rsid w:val="00F23031"/>
    <w:rsid w:val="00F236C9"/>
    <w:rsid w:val="00F24D6F"/>
    <w:rsid w:val="00F257EB"/>
    <w:rsid w:val="00F3284F"/>
    <w:rsid w:val="00F34412"/>
    <w:rsid w:val="00F376D3"/>
    <w:rsid w:val="00F41D0E"/>
    <w:rsid w:val="00F43DDD"/>
    <w:rsid w:val="00F52D70"/>
    <w:rsid w:val="00F54574"/>
    <w:rsid w:val="00F62C60"/>
    <w:rsid w:val="00F67A4E"/>
    <w:rsid w:val="00F67D31"/>
    <w:rsid w:val="00F70017"/>
    <w:rsid w:val="00F700D4"/>
    <w:rsid w:val="00F70E34"/>
    <w:rsid w:val="00F73793"/>
    <w:rsid w:val="00F80427"/>
    <w:rsid w:val="00F81440"/>
    <w:rsid w:val="00F81EBA"/>
    <w:rsid w:val="00F82B84"/>
    <w:rsid w:val="00F8357F"/>
    <w:rsid w:val="00F83F9B"/>
    <w:rsid w:val="00F9382B"/>
    <w:rsid w:val="00F93849"/>
    <w:rsid w:val="00F95F39"/>
    <w:rsid w:val="00F96A24"/>
    <w:rsid w:val="00FA0048"/>
    <w:rsid w:val="00FA17E2"/>
    <w:rsid w:val="00FA18FF"/>
    <w:rsid w:val="00FA22AB"/>
    <w:rsid w:val="00FA2AF6"/>
    <w:rsid w:val="00FA3511"/>
    <w:rsid w:val="00FB26B7"/>
    <w:rsid w:val="00FB3F3D"/>
    <w:rsid w:val="00FB51B0"/>
    <w:rsid w:val="00FB6463"/>
    <w:rsid w:val="00FB707B"/>
    <w:rsid w:val="00FC0FFE"/>
    <w:rsid w:val="00FC183F"/>
    <w:rsid w:val="00FC36C6"/>
    <w:rsid w:val="00FC64CE"/>
    <w:rsid w:val="00FC7EF2"/>
    <w:rsid w:val="00FD57F0"/>
    <w:rsid w:val="00FD59FD"/>
    <w:rsid w:val="00FE09CA"/>
    <w:rsid w:val="00FE3822"/>
    <w:rsid w:val="00FE4BAF"/>
    <w:rsid w:val="00FF2F29"/>
    <w:rsid w:val="00FF5D97"/>
    <w:rsid w:val="00FF5F5F"/>
    <w:rsid w:val="00FF68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F2AF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43D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17A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33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3303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043DF2"/>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E17A0E"/>
    <w:rPr>
      <w:rFonts w:asciiTheme="majorHAnsi" w:eastAsiaTheme="majorEastAsia" w:hAnsiTheme="majorHAnsi" w:cstheme="majorBidi"/>
      <w:b/>
      <w:bCs/>
      <w:color w:val="4F81BD" w:themeColor="accent1"/>
      <w:sz w:val="26"/>
      <w:szCs w:val="26"/>
    </w:rPr>
  </w:style>
  <w:style w:type="character" w:customStyle="1" w:styleId="txtnote">
    <w:name w:val="txtnote"/>
    <w:basedOn w:val="Policepardfaut"/>
    <w:rsid w:val="00FD59FD"/>
  </w:style>
  <w:style w:type="paragraph" w:styleId="Paragraphedeliste">
    <w:name w:val="List Paragraph"/>
    <w:basedOn w:val="Normal"/>
    <w:uiPriority w:val="34"/>
    <w:qFormat/>
    <w:rsid w:val="009845A6"/>
    <w:pPr>
      <w:spacing w:after="200" w:line="276"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43D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17A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33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33038"/>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043DF2"/>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E17A0E"/>
    <w:rPr>
      <w:rFonts w:asciiTheme="majorHAnsi" w:eastAsiaTheme="majorEastAsia" w:hAnsiTheme="majorHAnsi" w:cstheme="majorBidi"/>
      <w:b/>
      <w:bCs/>
      <w:color w:val="4F81BD" w:themeColor="accent1"/>
      <w:sz w:val="26"/>
      <w:szCs w:val="26"/>
    </w:rPr>
  </w:style>
  <w:style w:type="character" w:customStyle="1" w:styleId="txtnote">
    <w:name w:val="txtnote"/>
    <w:basedOn w:val="Policepardfaut"/>
    <w:rsid w:val="00FD59FD"/>
  </w:style>
  <w:style w:type="paragraph" w:styleId="Paragraphedeliste">
    <w:name w:val="List Paragraph"/>
    <w:basedOn w:val="Normal"/>
    <w:uiPriority w:val="34"/>
    <w:qFormat/>
    <w:rsid w:val="009845A6"/>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17</Pages>
  <Words>10472</Words>
  <Characters>57601</Characters>
  <Application>Microsoft Macintosh Word</Application>
  <DocSecurity>0</DocSecurity>
  <Lines>480</Lines>
  <Paragraphs>135</Paragraphs>
  <ScaleCrop>false</ScaleCrop>
  <Company>Panthéon-Assas</Company>
  <LinksUpToDate>false</LinksUpToDate>
  <CharactersWithSpaces>67938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 HERVIER</dc:creator>
  <cp:keywords/>
  <dc:description/>
  <cp:lastModifiedBy>Lonni HERVIER</cp:lastModifiedBy>
  <cp:revision>1366</cp:revision>
  <dcterms:created xsi:type="dcterms:W3CDTF">2011-11-11T15:44:00Z</dcterms:created>
  <dcterms:modified xsi:type="dcterms:W3CDTF">2011-11-14T11:21:00Z</dcterms:modified>
</cp:coreProperties>
</file>