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E2" w:rsidRDefault="004E1753" w:rsidP="004E1753">
      <w:pPr>
        <w:spacing w:after="120"/>
        <w:jc w:val="center"/>
      </w:pPr>
      <w:r w:rsidRPr="004E1753">
        <w:rPr>
          <w:b/>
        </w:rPr>
        <w:t>Les fractures de la jambe</w:t>
      </w:r>
    </w:p>
    <w:p w:rsidR="004E1753" w:rsidRPr="009E0F4A" w:rsidRDefault="009E0F4A" w:rsidP="009E0F4A">
      <w:pPr>
        <w:spacing w:after="120"/>
        <w:ind w:firstLine="708"/>
        <w:rPr>
          <w:rFonts w:ascii="Baskerville Old Face" w:hAnsi="Baskerville Old Face"/>
          <w:i/>
          <w:sz w:val="20"/>
          <w:szCs w:val="20"/>
        </w:rPr>
      </w:pPr>
      <w:r w:rsidRPr="009E0F4A">
        <w:rPr>
          <w:rFonts w:ascii="Baskerville Old Face" w:hAnsi="Baskerville Old Face"/>
          <w:i/>
          <w:sz w:val="20"/>
          <w:szCs w:val="20"/>
        </w:rPr>
        <w:t xml:space="preserve">Il s’agit de fractures fréquentes car c’est un segment proche du sol et donc très exposé (accidents de la voie publique notamment). </w:t>
      </w:r>
    </w:p>
    <w:p w:rsidR="009E0F4A" w:rsidRPr="009E0F4A" w:rsidRDefault="009E0F4A" w:rsidP="009E0F4A">
      <w:pPr>
        <w:spacing w:after="120"/>
        <w:rPr>
          <w:rFonts w:ascii="Baskerville Old Face" w:hAnsi="Baskerville Old Face"/>
          <w:i/>
          <w:sz w:val="20"/>
          <w:szCs w:val="20"/>
        </w:rPr>
      </w:pPr>
      <w:r w:rsidRPr="009E0F4A">
        <w:rPr>
          <w:rFonts w:ascii="Baskerville Old Face" w:hAnsi="Baskerville Old Face"/>
          <w:i/>
          <w:sz w:val="20"/>
          <w:szCs w:val="20"/>
        </w:rPr>
        <w:t xml:space="preserve">Une telle fracture est une urgence thérapeutique, pouvant présenter des complications précoces s’il y a ouverture cutanée (infection osseuse), ainsi que des tardives, la pire étant une pseudarthrose septique. </w:t>
      </w:r>
    </w:p>
    <w:p w:rsidR="004E1753" w:rsidRDefault="004E1753" w:rsidP="004E1753">
      <w:pPr>
        <w:spacing w:after="120"/>
      </w:pPr>
    </w:p>
    <w:p w:rsidR="009E0F4A" w:rsidRDefault="009E0F4A" w:rsidP="004E1753">
      <w:pPr>
        <w:spacing w:after="120"/>
      </w:pPr>
      <w:r w:rsidRPr="009E0F4A">
        <w:rPr>
          <w:b/>
          <w:i/>
          <w:u w:val="single"/>
        </w:rPr>
        <w:t>Définition</w:t>
      </w:r>
      <w:r>
        <w:t xml:space="preserve"> : C’est une fracture </w:t>
      </w:r>
      <w:r w:rsidRPr="009E0F4A">
        <w:rPr>
          <w:b/>
        </w:rPr>
        <w:t>diaphysaire</w:t>
      </w:r>
      <w:r>
        <w:t xml:space="preserve"> d’un os (souvent le tibia) ou des deux os de la jambe. Sont exclues les fractures du plateau et du pilon tibial. </w:t>
      </w:r>
    </w:p>
    <w:p w:rsidR="009E0F4A" w:rsidRDefault="009E0F4A" w:rsidP="004E1753">
      <w:pPr>
        <w:spacing w:after="120"/>
      </w:pPr>
    </w:p>
    <w:p w:rsidR="009E0F4A" w:rsidRDefault="009E0F4A" w:rsidP="004E1753">
      <w:pPr>
        <w:spacing w:after="120"/>
      </w:pPr>
      <w:r w:rsidRPr="009E0F4A">
        <w:rPr>
          <w:u w:val="single"/>
        </w:rPr>
        <w:t>Epidémiologie</w:t>
      </w:r>
      <w:r>
        <w:t xml:space="preserve"> : </w:t>
      </w:r>
    </w:p>
    <w:p w:rsidR="009E0F4A" w:rsidRDefault="009E0F4A" w:rsidP="009E0F4A">
      <w:pPr>
        <w:pStyle w:val="Paragraphedeliste"/>
        <w:numPr>
          <w:ilvl w:val="0"/>
          <w:numId w:val="1"/>
        </w:numPr>
        <w:spacing w:after="120"/>
      </w:pPr>
      <w:r>
        <w:t>15 à 20% de toutes les fractures.</w:t>
      </w:r>
    </w:p>
    <w:p w:rsidR="009E0F4A" w:rsidRDefault="009E0F4A" w:rsidP="009E0F4A">
      <w:pPr>
        <w:pStyle w:val="Paragraphedeliste"/>
        <w:numPr>
          <w:ilvl w:val="0"/>
          <w:numId w:val="1"/>
        </w:numPr>
        <w:spacing w:after="120"/>
      </w:pPr>
      <w:r>
        <w:t>Touche principalement les hommes entre 15 et 40 ans, actifs (moto, foot,…)</w:t>
      </w:r>
    </w:p>
    <w:p w:rsidR="009E0F4A" w:rsidRDefault="009E0F4A" w:rsidP="009E0F4A">
      <w:pPr>
        <w:pStyle w:val="Paragraphedeliste"/>
        <w:numPr>
          <w:ilvl w:val="0"/>
          <w:numId w:val="1"/>
        </w:numPr>
        <w:spacing w:after="120"/>
      </w:pPr>
      <w:r>
        <w:t xml:space="preserve">Etiologie : </w:t>
      </w:r>
    </w:p>
    <w:p w:rsidR="009E0F4A" w:rsidRDefault="009E0F4A" w:rsidP="009E0F4A">
      <w:pPr>
        <w:pStyle w:val="Paragraphedeliste"/>
        <w:numPr>
          <w:ilvl w:val="1"/>
          <w:numId w:val="1"/>
        </w:numPr>
        <w:spacing w:after="120"/>
      </w:pPr>
      <w:r>
        <w:t>AVP : accident des 2 roues principalement, ou un piéton fauché.</w:t>
      </w:r>
    </w:p>
    <w:p w:rsidR="009E0F4A" w:rsidRDefault="009E0F4A" w:rsidP="009E0F4A">
      <w:pPr>
        <w:pStyle w:val="Paragraphedeliste"/>
        <w:numPr>
          <w:ilvl w:val="1"/>
          <w:numId w:val="1"/>
        </w:numPr>
        <w:spacing w:after="120"/>
      </w:pPr>
      <w:r>
        <w:t>Accident de ski.</w:t>
      </w:r>
    </w:p>
    <w:p w:rsidR="009E0F4A" w:rsidRDefault="009E0F4A" w:rsidP="009E0F4A">
      <w:pPr>
        <w:pStyle w:val="Paragraphedeliste"/>
        <w:numPr>
          <w:ilvl w:val="0"/>
          <w:numId w:val="1"/>
        </w:numPr>
        <w:spacing w:after="120"/>
      </w:pPr>
      <w:r>
        <w:t>Dans 1 cas sur 3, la fracture est ouverte, la face interne du tibia étant sous-cutanée et non protégée par des muscles.</w:t>
      </w:r>
    </w:p>
    <w:p w:rsidR="009923F0" w:rsidRDefault="009923F0" w:rsidP="009923F0">
      <w:pPr>
        <w:spacing w:after="120"/>
      </w:pPr>
    </w:p>
    <w:p w:rsidR="009923F0" w:rsidRDefault="009923F0" w:rsidP="009923F0">
      <w:pPr>
        <w:spacing w:after="120"/>
      </w:pPr>
      <w:r w:rsidRPr="009923F0">
        <w:rPr>
          <w:u w:val="single"/>
        </w:rPr>
        <w:t>Interrogatoire</w:t>
      </w:r>
      <w:r>
        <w:t xml:space="preserve"> : </w:t>
      </w:r>
    </w:p>
    <w:p w:rsidR="009923F0" w:rsidRDefault="009923F0" w:rsidP="009923F0">
      <w:pPr>
        <w:pStyle w:val="Paragraphedeliste"/>
        <w:numPr>
          <w:ilvl w:val="0"/>
          <w:numId w:val="1"/>
        </w:numPr>
        <w:spacing w:after="120"/>
      </w:pPr>
      <w:r>
        <w:t xml:space="preserve">Si fracture ouverte, vérifier l’état de vaccination, contre le tétanos principalement. </w:t>
      </w:r>
    </w:p>
    <w:p w:rsidR="009923F0" w:rsidRDefault="009923F0" w:rsidP="009923F0">
      <w:pPr>
        <w:pStyle w:val="Paragraphedeliste"/>
        <w:numPr>
          <w:ilvl w:val="0"/>
          <w:numId w:val="1"/>
        </w:numPr>
        <w:spacing w:after="120"/>
      </w:pPr>
      <w:r>
        <w:t>Nature de l’accident pour connaître l’état traumatique.</w:t>
      </w:r>
    </w:p>
    <w:p w:rsidR="009923F0" w:rsidRDefault="009923F0" w:rsidP="009923F0">
      <w:pPr>
        <w:pStyle w:val="Paragraphedeliste"/>
        <w:numPr>
          <w:ilvl w:val="0"/>
          <w:numId w:val="1"/>
        </w:numPr>
        <w:spacing w:after="120"/>
      </w:pPr>
      <w:r>
        <w:t xml:space="preserve">L’heure de l’accident pour anticiper sur les lésions vasculaire (ischémie). </w:t>
      </w:r>
    </w:p>
    <w:p w:rsidR="009923F0" w:rsidRDefault="009923F0" w:rsidP="009923F0">
      <w:pPr>
        <w:pStyle w:val="Paragraphedeliste"/>
        <w:numPr>
          <w:ilvl w:val="0"/>
          <w:numId w:val="1"/>
        </w:numPr>
        <w:spacing w:after="120"/>
      </w:pPr>
      <w:r>
        <w:t>Le mécanisme : rotatoire (peu grave) ou direct.</w:t>
      </w:r>
    </w:p>
    <w:p w:rsidR="009923F0" w:rsidRDefault="009923F0" w:rsidP="009923F0">
      <w:pPr>
        <w:pStyle w:val="Paragraphedeliste"/>
        <w:numPr>
          <w:ilvl w:val="0"/>
          <w:numId w:val="1"/>
        </w:numPr>
        <w:spacing w:after="120"/>
      </w:pPr>
      <w:r>
        <w:t>Notion d’</w:t>
      </w:r>
      <w:r w:rsidRPr="009923F0">
        <w:rPr>
          <w:b/>
          <w:u w:val="single"/>
        </w:rPr>
        <w:t>énergie traumatique </w:t>
      </w:r>
      <w:r>
        <w:t>: plus elle est grande plus elle touche les plans internes : vasculaire, musculaire, nerveuse,…</w:t>
      </w:r>
    </w:p>
    <w:p w:rsidR="009923F0" w:rsidRDefault="009923F0" w:rsidP="009923F0">
      <w:pPr>
        <w:spacing w:after="120"/>
      </w:pPr>
    </w:p>
    <w:p w:rsidR="009923F0" w:rsidRDefault="009923F0" w:rsidP="009923F0">
      <w:pPr>
        <w:spacing w:after="120"/>
      </w:pPr>
      <w:r w:rsidRPr="009923F0">
        <w:rPr>
          <w:u w:val="single"/>
        </w:rPr>
        <w:t>Examen clinique</w:t>
      </w:r>
      <w:r>
        <w:t xml:space="preserve"> : </w:t>
      </w:r>
    </w:p>
    <w:p w:rsidR="009923F0" w:rsidRDefault="009923F0" w:rsidP="009923F0">
      <w:pPr>
        <w:pStyle w:val="Paragraphedeliste"/>
        <w:numPr>
          <w:ilvl w:val="0"/>
          <w:numId w:val="1"/>
        </w:numPr>
        <w:spacing w:after="120"/>
      </w:pPr>
      <w:r>
        <w:t>On étudie surtout l’état de la peau, le siège de la plaie (proche de l’os ou non)</w:t>
      </w:r>
      <w:r w:rsidR="0082616A">
        <w:t xml:space="preserve">, et on vérifie s’il y a eu </w:t>
      </w:r>
      <w:r w:rsidR="0082616A" w:rsidRPr="0082616A">
        <w:rPr>
          <w:b/>
          <w:u w:val="single"/>
        </w:rPr>
        <w:t>perte de substance cutanée</w:t>
      </w:r>
      <w:r w:rsidR="0082616A">
        <w:t xml:space="preserve"> (</w:t>
      </w:r>
      <w:r w:rsidR="0082616A">
        <w:rPr>
          <w:b/>
        </w:rPr>
        <w:t>PDS</w:t>
      </w:r>
      <w:r w:rsidR="0082616A">
        <w:t xml:space="preserve">) ou non. </w:t>
      </w:r>
    </w:p>
    <w:p w:rsidR="0082616A" w:rsidRDefault="0082616A" w:rsidP="009923F0">
      <w:pPr>
        <w:pStyle w:val="Paragraphedeliste"/>
        <w:numPr>
          <w:ilvl w:val="0"/>
          <w:numId w:val="1"/>
        </w:numPr>
        <w:spacing w:after="120"/>
      </w:pPr>
      <w:r>
        <w:t xml:space="preserve">Voir l’état de souillure de la plaie. </w:t>
      </w:r>
    </w:p>
    <w:p w:rsidR="0082616A" w:rsidRDefault="0082616A" w:rsidP="009923F0">
      <w:pPr>
        <w:pStyle w:val="Paragraphedeliste"/>
        <w:numPr>
          <w:ilvl w:val="0"/>
          <w:numId w:val="1"/>
        </w:numPr>
        <w:spacing w:after="120"/>
      </w:pPr>
      <w:r>
        <w:t>Présence ou non d’une IFT : impotence fonctionnelle totale.</w:t>
      </w:r>
    </w:p>
    <w:p w:rsidR="0082616A" w:rsidRDefault="0082616A" w:rsidP="0082616A">
      <w:pPr>
        <w:spacing w:after="120"/>
      </w:pPr>
      <w:r>
        <w:t xml:space="preserve">Il faut examiner le patient en totalité, et pas uniquement la jambe, pour s’assurer qu’il n’y ait pas d’autres lésions vitales. </w:t>
      </w:r>
    </w:p>
    <w:p w:rsidR="00B67201" w:rsidRDefault="00B67201" w:rsidP="0082616A">
      <w:pPr>
        <w:spacing w:after="120"/>
      </w:pPr>
    </w:p>
    <w:p w:rsidR="00B67201" w:rsidRDefault="00B67201" w:rsidP="0082616A">
      <w:pPr>
        <w:spacing w:after="120"/>
      </w:pPr>
      <w:r w:rsidRPr="00B67201">
        <w:rPr>
          <w:u w:val="single"/>
        </w:rPr>
        <w:t>Traitement</w:t>
      </w:r>
      <w:r>
        <w:t xml:space="preserve"> : </w:t>
      </w:r>
    </w:p>
    <w:p w:rsidR="00B67201" w:rsidRDefault="00B67201" w:rsidP="00B67201">
      <w:pPr>
        <w:spacing w:after="120"/>
        <w:ind w:firstLine="708"/>
        <w:rPr>
          <w:i/>
        </w:rPr>
      </w:pPr>
      <w:r w:rsidRPr="00B67201">
        <w:rPr>
          <w:i/>
        </w:rPr>
        <w:t>Le but est d’assurer une rectitude de l’os dans les 3 mois à venir et une longueur anatomique de celui-ci, afin de permettre au patient  tous les mouvements qu’il souhaite réaliser.</w:t>
      </w:r>
    </w:p>
    <w:p w:rsidR="00B67201" w:rsidRPr="00B67201" w:rsidRDefault="00B67201" w:rsidP="00B67201">
      <w:pPr>
        <w:spacing w:after="120"/>
        <w:ind w:firstLine="708"/>
        <w:rPr>
          <w:i/>
        </w:rPr>
      </w:pPr>
    </w:p>
    <w:p w:rsidR="00B67201" w:rsidRPr="00B67201" w:rsidRDefault="00B67201" w:rsidP="00B67201">
      <w:pPr>
        <w:pStyle w:val="Paragraphedeliste"/>
        <w:numPr>
          <w:ilvl w:val="0"/>
          <w:numId w:val="2"/>
        </w:numPr>
        <w:spacing w:after="120"/>
        <w:rPr>
          <w:b/>
        </w:rPr>
      </w:pPr>
      <w:r w:rsidRPr="00B67201">
        <w:rPr>
          <w:b/>
        </w:rPr>
        <w:lastRenderedPageBreak/>
        <w:t>Orthopédique </w:t>
      </w:r>
    </w:p>
    <w:p w:rsidR="00B67201" w:rsidRDefault="00B67201" w:rsidP="00B67201">
      <w:pPr>
        <w:pStyle w:val="Paragraphedeliste"/>
        <w:numPr>
          <w:ilvl w:val="0"/>
          <w:numId w:val="1"/>
        </w:numPr>
        <w:spacing w:after="120"/>
      </w:pPr>
      <w:r w:rsidRPr="00B67201">
        <w:rPr>
          <w:i/>
        </w:rPr>
        <w:t>Plâtre</w:t>
      </w:r>
      <w:r>
        <w:t xml:space="preserve"> : maintient le genou en flexion de 10 à 20° (les coques condyliennes étant douloureuses en extension), la cheville à 90°, l’équin étant difficile à récupérer. </w:t>
      </w:r>
    </w:p>
    <w:p w:rsidR="00B67201" w:rsidRDefault="00B67201" w:rsidP="00B67201">
      <w:pPr>
        <w:pStyle w:val="Paragraphedeliste"/>
        <w:numPr>
          <w:ilvl w:val="0"/>
          <w:numId w:val="1"/>
        </w:numPr>
        <w:spacing w:after="120"/>
      </w:pPr>
      <w:r w:rsidRPr="00B67201">
        <w:rPr>
          <w:i/>
        </w:rPr>
        <w:t>Traction </w:t>
      </w:r>
      <w:r>
        <w:t>: d’une force égale au 1/10</w:t>
      </w:r>
      <w:r w:rsidRPr="00B67201">
        <w:rPr>
          <w:vertAlign w:val="superscript"/>
        </w:rPr>
        <w:t>ème</w:t>
      </w:r>
      <w:r>
        <w:t xml:space="preserve"> du poids du corps. On ne la réalise que lorsque l’on y est forcé : dermabrasion, phlyctènes (ampoules),  le temps que la plaie cicatrise (7-10 jours).</w:t>
      </w:r>
    </w:p>
    <w:p w:rsidR="00B67201" w:rsidRDefault="00B67201" w:rsidP="00B67201">
      <w:pPr>
        <w:pStyle w:val="Paragraphedeliste"/>
        <w:numPr>
          <w:ilvl w:val="0"/>
          <w:numId w:val="1"/>
        </w:numPr>
        <w:spacing w:after="120"/>
      </w:pPr>
      <w:r w:rsidRPr="00B67201">
        <w:rPr>
          <w:i/>
        </w:rPr>
        <w:t>Méthode de Sarmiento</w:t>
      </w:r>
      <w:r>
        <w:t xml:space="preserve"> : plâtre de la jambe et de la cheville en libérant le genou. Sa thérapie consiste à reprendre la marche le plus tôt possible, celle-ci étant une aide à la consolidation. On fait une botte plâtrée, le plâtre étant bien moulée, limitant la compression. </w:t>
      </w:r>
    </w:p>
    <w:p w:rsidR="00B67201" w:rsidRDefault="00B67201" w:rsidP="00B67201">
      <w:pPr>
        <w:spacing w:after="120"/>
      </w:pPr>
      <w:r>
        <w:t xml:space="preserve">On peut aussi réaliser un plâtre cruro-pédieux 3 semaines puis un Sarmiento pour la suite, ce qui permet la résorption de l’œdème et la présence d’un cal fibreux avant le retour à la marche. </w:t>
      </w:r>
      <w:r>
        <w:br/>
      </w:r>
    </w:p>
    <w:p w:rsidR="00B67201" w:rsidRDefault="00B67201" w:rsidP="00B67201">
      <w:pPr>
        <w:pStyle w:val="Paragraphedeliste"/>
        <w:numPr>
          <w:ilvl w:val="0"/>
          <w:numId w:val="2"/>
        </w:numPr>
        <w:spacing w:after="120"/>
        <w:rPr>
          <w:b/>
        </w:rPr>
      </w:pPr>
      <w:r w:rsidRPr="00B67201">
        <w:rPr>
          <w:b/>
        </w:rPr>
        <w:t xml:space="preserve">Chirurgical </w:t>
      </w:r>
    </w:p>
    <w:p w:rsidR="00B67201" w:rsidRDefault="00B67201" w:rsidP="007976C0">
      <w:pPr>
        <w:pStyle w:val="Paragraphedeliste"/>
        <w:spacing w:after="120"/>
        <w:ind w:left="360" w:firstLine="348"/>
      </w:pPr>
      <w:r>
        <w:t xml:space="preserve">Les risques principaux sont ici la pseudarthrose et l’infection. </w:t>
      </w:r>
      <w:r w:rsidR="007976C0">
        <w:t xml:space="preserve">Le principal désavantage est l’évacuation de l’hématome et la présence d’une cicatrice par la suite. </w:t>
      </w:r>
      <w:r>
        <w:br/>
        <w:t>Il peut s’agir de plaques, mais celles-ci éloignent les muscles et diminuent la nutrition de l’os</w:t>
      </w:r>
      <w:r w:rsidR="007976C0">
        <w:t xml:space="preserve">. </w:t>
      </w:r>
    </w:p>
    <w:p w:rsidR="007976C0" w:rsidRDefault="007976C0" w:rsidP="007976C0">
      <w:pPr>
        <w:pStyle w:val="Paragraphedeliste"/>
        <w:spacing w:after="120"/>
        <w:ind w:left="360" w:firstLine="348"/>
      </w:pPr>
      <w:r>
        <w:t xml:space="preserve">Toutefois, la réduction du membre est parfaite, et on ne soumet ni le patient ni le médecin à des radiations. Toutefois, le patient ne peut pas marcher de suite après l’opération. </w:t>
      </w:r>
    </w:p>
    <w:p w:rsidR="007976C0" w:rsidRDefault="007976C0" w:rsidP="007976C0">
      <w:pPr>
        <w:pStyle w:val="Paragraphedeliste"/>
        <w:spacing w:after="120"/>
        <w:ind w:left="360" w:firstLine="348"/>
      </w:pPr>
    </w:p>
    <w:p w:rsidR="007976C0" w:rsidRDefault="007976C0" w:rsidP="007976C0">
      <w:pPr>
        <w:pStyle w:val="Paragraphedeliste"/>
        <w:spacing w:after="120"/>
        <w:ind w:left="360" w:firstLine="348"/>
      </w:pPr>
      <w:r>
        <w:t xml:space="preserve">On peut aussi faire un clou, permettant la marche quasi immédiatement après l’opération, mais l’opération ne permet pas une réduction parfaite et expose le chirurgien et le malade aux radiations. </w:t>
      </w:r>
    </w:p>
    <w:p w:rsidR="00006953" w:rsidRDefault="00006953" w:rsidP="00006953">
      <w:pPr>
        <w:spacing w:after="120"/>
      </w:pPr>
    </w:p>
    <w:p w:rsidR="00006953" w:rsidRDefault="00006953" w:rsidP="00006953">
      <w:pPr>
        <w:spacing w:after="120"/>
      </w:pPr>
      <w:r>
        <w:t xml:space="preserve">Classification des lésions cutanées de Cauchois et Duparc : </w:t>
      </w:r>
    </w:p>
    <w:p w:rsidR="00006953" w:rsidRDefault="00006953" w:rsidP="00006953">
      <w:pPr>
        <w:pStyle w:val="Paragraphedeliste"/>
        <w:numPr>
          <w:ilvl w:val="0"/>
          <w:numId w:val="1"/>
        </w:numPr>
        <w:spacing w:after="120"/>
      </w:pPr>
      <w:r w:rsidRPr="00006953">
        <w:rPr>
          <w:u w:val="single"/>
        </w:rPr>
        <w:t>Stade I</w:t>
      </w:r>
      <w:r>
        <w:t xml:space="preserve"> : ouverture ponctiforme ou linéaire, suturable sans tension, permettant de la considérée par la suite comme une lésion fermée. </w:t>
      </w:r>
    </w:p>
    <w:p w:rsidR="00006953" w:rsidRDefault="00006953" w:rsidP="00006953">
      <w:pPr>
        <w:pStyle w:val="Paragraphedeliste"/>
        <w:numPr>
          <w:ilvl w:val="0"/>
          <w:numId w:val="1"/>
        </w:numPr>
        <w:spacing w:after="120"/>
      </w:pPr>
      <w:r w:rsidRPr="00006953">
        <w:rPr>
          <w:u w:val="single"/>
        </w:rPr>
        <w:t>Stade II</w:t>
      </w:r>
      <w:r>
        <w:t> : suture possible mais risque de nécrose.</w:t>
      </w:r>
    </w:p>
    <w:p w:rsidR="00006953" w:rsidRDefault="00006953" w:rsidP="00006953">
      <w:pPr>
        <w:pStyle w:val="Paragraphedeliste"/>
        <w:numPr>
          <w:ilvl w:val="0"/>
          <w:numId w:val="1"/>
        </w:numPr>
        <w:spacing w:after="120"/>
      </w:pPr>
      <w:r w:rsidRPr="00006953">
        <w:rPr>
          <w:u w:val="single"/>
        </w:rPr>
        <w:t>Stade III</w:t>
      </w:r>
      <w:r>
        <w:t xml:space="preserve"> : non suturable. </w:t>
      </w:r>
    </w:p>
    <w:p w:rsidR="00006953" w:rsidRDefault="00006953" w:rsidP="00006953">
      <w:pPr>
        <w:pStyle w:val="Paragraphedeliste"/>
        <w:spacing w:after="120"/>
      </w:pPr>
    </w:p>
    <w:p w:rsidR="00006953" w:rsidRDefault="00006953" w:rsidP="00006953">
      <w:pPr>
        <w:spacing w:after="120"/>
      </w:pPr>
      <w:r w:rsidRPr="00006953">
        <w:rPr>
          <w:u w:val="single"/>
        </w:rPr>
        <w:t>Indications</w:t>
      </w:r>
      <w:r>
        <w:t xml:space="preserve"> : </w:t>
      </w:r>
    </w:p>
    <w:p w:rsidR="00006953" w:rsidRDefault="00006953" w:rsidP="00006953">
      <w:pPr>
        <w:pStyle w:val="Paragraphedeliste"/>
        <w:numPr>
          <w:ilvl w:val="0"/>
          <w:numId w:val="1"/>
        </w:numPr>
        <w:spacing w:after="120"/>
      </w:pPr>
      <w:r>
        <w:t xml:space="preserve">Si fracture fermée ou ouverte de stade I (O1) : </w:t>
      </w:r>
    </w:p>
    <w:p w:rsidR="00006953" w:rsidRDefault="00006953" w:rsidP="00006953">
      <w:pPr>
        <w:pStyle w:val="Paragraphedeliste"/>
        <w:numPr>
          <w:ilvl w:val="1"/>
          <w:numId w:val="1"/>
        </w:numPr>
        <w:spacing w:after="120"/>
      </w:pPr>
      <w:r>
        <w:t>S’il n’y a pas de déplacement, on pose un PCP (plâtre cruro-pédieux).</w:t>
      </w:r>
    </w:p>
    <w:p w:rsidR="00006953" w:rsidRDefault="00006953" w:rsidP="00006953">
      <w:pPr>
        <w:pStyle w:val="Paragraphedeliste"/>
        <w:numPr>
          <w:ilvl w:val="1"/>
          <w:numId w:val="1"/>
        </w:numPr>
        <w:spacing w:after="120"/>
      </w:pPr>
      <w:r>
        <w:t>Si déplacée : ECM (enclouage) ou plaque.</w:t>
      </w:r>
    </w:p>
    <w:p w:rsidR="00006953" w:rsidRDefault="00006953" w:rsidP="00006953">
      <w:pPr>
        <w:pStyle w:val="Paragraphedeliste"/>
        <w:numPr>
          <w:ilvl w:val="0"/>
          <w:numId w:val="1"/>
        </w:numPr>
        <w:spacing w:after="120"/>
      </w:pPr>
      <w:r>
        <w:t>Fracture O3 : fixateur externe.</w:t>
      </w:r>
    </w:p>
    <w:p w:rsidR="00006953" w:rsidRDefault="00006953" w:rsidP="00006953">
      <w:pPr>
        <w:pStyle w:val="Paragraphedeliste"/>
        <w:numPr>
          <w:ilvl w:val="0"/>
          <w:numId w:val="1"/>
        </w:numPr>
        <w:spacing w:after="120"/>
      </w:pPr>
      <w:r>
        <w:t xml:space="preserve">Fracture O2 : pas de choix fixe : fixateur ou ECM. </w:t>
      </w:r>
    </w:p>
    <w:p w:rsidR="00006953" w:rsidRDefault="00006953" w:rsidP="00006953">
      <w:pPr>
        <w:spacing w:after="120"/>
      </w:pPr>
    </w:p>
    <w:p w:rsidR="00006953" w:rsidRDefault="00006953" w:rsidP="00006953">
      <w:pPr>
        <w:spacing w:after="120"/>
      </w:pPr>
      <w:r w:rsidRPr="00006953">
        <w:rPr>
          <w:u w:val="single"/>
        </w:rPr>
        <w:t>Complications </w:t>
      </w:r>
      <w:r>
        <w:t xml:space="preserve">: </w:t>
      </w:r>
    </w:p>
    <w:p w:rsidR="00006953" w:rsidRDefault="00006953" w:rsidP="00006953">
      <w:pPr>
        <w:pStyle w:val="Paragraphedeliste"/>
        <w:numPr>
          <w:ilvl w:val="0"/>
          <w:numId w:val="1"/>
        </w:numPr>
        <w:spacing w:after="120"/>
      </w:pPr>
      <w:r>
        <w:t>Précoces : vasculaire, nerveuse.</w:t>
      </w:r>
    </w:p>
    <w:p w:rsidR="00006953" w:rsidRDefault="00006953" w:rsidP="00006953">
      <w:pPr>
        <w:pStyle w:val="Paragraphedeliste"/>
        <w:numPr>
          <w:ilvl w:val="0"/>
          <w:numId w:val="1"/>
        </w:numPr>
        <w:spacing w:after="120"/>
      </w:pPr>
      <w:r>
        <w:t xml:space="preserve">Secondaire : </w:t>
      </w:r>
    </w:p>
    <w:p w:rsidR="005D6928" w:rsidRDefault="00006953" w:rsidP="00006953">
      <w:pPr>
        <w:pStyle w:val="Paragraphedeliste"/>
        <w:numPr>
          <w:ilvl w:val="1"/>
          <w:numId w:val="1"/>
        </w:numPr>
        <w:spacing w:after="120"/>
      </w:pPr>
      <w:r w:rsidRPr="005D6928">
        <w:rPr>
          <w:b/>
          <w:u w:val="single"/>
        </w:rPr>
        <w:t>Syndrome des loges</w:t>
      </w:r>
      <w:r>
        <w:t xml:space="preserve"> : </w:t>
      </w:r>
      <w:r w:rsidRPr="005D6928">
        <w:rPr>
          <w:b/>
          <w:i/>
        </w:rPr>
        <w:t xml:space="preserve">augmentation </w:t>
      </w:r>
      <w:r w:rsidR="005D6928" w:rsidRPr="005D6928">
        <w:rPr>
          <w:b/>
          <w:i/>
        </w:rPr>
        <w:t>de la pression dans une loge inextensible. Un œdème cause une hyperpression qui entraîne une compression des vaisseaux d’où une ischémie, notamment des nerfs</w:t>
      </w:r>
      <w:r w:rsidR="005D6928">
        <w:t xml:space="preserve">. </w:t>
      </w:r>
    </w:p>
    <w:p w:rsidR="005D6928" w:rsidRDefault="005D6928" w:rsidP="005D6928">
      <w:pPr>
        <w:pStyle w:val="Paragraphedeliste"/>
        <w:spacing w:after="120"/>
        <w:ind w:left="1440"/>
      </w:pPr>
      <w:r>
        <w:lastRenderedPageBreak/>
        <w:t xml:space="preserve">Il se manifeste par : </w:t>
      </w:r>
    </w:p>
    <w:p w:rsidR="005D6928" w:rsidRDefault="005D6928" w:rsidP="005D6928">
      <w:pPr>
        <w:pStyle w:val="Paragraphedeliste"/>
        <w:numPr>
          <w:ilvl w:val="2"/>
          <w:numId w:val="1"/>
        </w:numPr>
        <w:spacing w:after="120"/>
      </w:pPr>
      <w:r>
        <w:t>la douleur +++ (plus importante qu’une douleur de fracture, et qui perdure même suite à l’opération).</w:t>
      </w:r>
    </w:p>
    <w:p w:rsidR="005D6928" w:rsidRDefault="005D6928" w:rsidP="005D6928">
      <w:pPr>
        <w:pStyle w:val="Paragraphedeliste"/>
        <w:numPr>
          <w:ilvl w:val="2"/>
          <w:numId w:val="1"/>
        </w:numPr>
        <w:spacing w:after="120"/>
      </w:pPr>
      <w:r>
        <w:t xml:space="preserve">Une paresthésie. </w:t>
      </w:r>
    </w:p>
    <w:p w:rsidR="005D6928" w:rsidRDefault="005D6928" w:rsidP="005D6928">
      <w:pPr>
        <w:pStyle w:val="Paragraphedeliste"/>
        <w:numPr>
          <w:ilvl w:val="2"/>
          <w:numId w:val="1"/>
        </w:numPr>
        <w:spacing w:after="120"/>
      </w:pPr>
      <w:r>
        <w:t xml:space="preserve">Une abolition du pouls au niveau du membre. </w:t>
      </w:r>
    </w:p>
    <w:p w:rsidR="005D6928" w:rsidRDefault="005D6928" w:rsidP="005D6928">
      <w:pPr>
        <w:pStyle w:val="Paragraphedeliste"/>
        <w:spacing w:after="120"/>
        <w:ind w:left="1440"/>
      </w:pPr>
      <w:r>
        <w:t xml:space="preserve">On le traite par une aponévrotomie de décharge. </w:t>
      </w:r>
    </w:p>
    <w:p w:rsidR="00006953" w:rsidRDefault="005D6928" w:rsidP="00006953">
      <w:pPr>
        <w:pStyle w:val="Paragraphedeliste"/>
        <w:numPr>
          <w:ilvl w:val="1"/>
          <w:numId w:val="1"/>
        </w:numPr>
        <w:spacing w:after="120"/>
      </w:pPr>
      <w:r>
        <w:t xml:space="preserve"> Une thrombophlébite (signe du drapeau).</w:t>
      </w:r>
    </w:p>
    <w:p w:rsidR="005D6928" w:rsidRDefault="005D6928" w:rsidP="00006953">
      <w:pPr>
        <w:pStyle w:val="Paragraphedeliste"/>
        <w:numPr>
          <w:ilvl w:val="1"/>
          <w:numId w:val="1"/>
        </w:numPr>
        <w:spacing w:after="120"/>
      </w:pPr>
      <w:r>
        <w:t xml:space="preserve">Infection faisant suite à : </w:t>
      </w:r>
    </w:p>
    <w:p w:rsidR="005D6928" w:rsidRDefault="005D6928" w:rsidP="005D6928">
      <w:pPr>
        <w:pStyle w:val="Paragraphedeliste"/>
        <w:numPr>
          <w:ilvl w:val="2"/>
          <w:numId w:val="1"/>
        </w:numPr>
        <w:spacing w:after="120"/>
      </w:pPr>
      <w:r>
        <w:t>Une fracture ouverte +++</w:t>
      </w:r>
    </w:p>
    <w:p w:rsidR="005D6928" w:rsidRDefault="005D6928" w:rsidP="005D6928">
      <w:pPr>
        <w:pStyle w:val="Paragraphedeliste"/>
        <w:numPr>
          <w:ilvl w:val="2"/>
          <w:numId w:val="1"/>
        </w:numPr>
        <w:spacing w:after="120"/>
      </w:pPr>
      <w:r>
        <w:t>Un sepsis sur matériel (postopératoire)</w:t>
      </w:r>
    </w:p>
    <w:p w:rsidR="005D6928" w:rsidRDefault="005D6928" w:rsidP="005D6928">
      <w:pPr>
        <w:pStyle w:val="Paragraphedeliste"/>
        <w:numPr>
          <w:ilvl w:val="1"/>
          <w:numId w:val="1"/>
        </w:numPr>
        <w:spacing w:after="120"/>
      </w:pPr>
      <w:r>
        <w:t xml:space="preserve">Un déplacement secondaire, traité orthopédiquement. </w:t>
      </w:r>
      <w:r>
        <w:br/>
      </w:r>
    </w:p>
    <w:p w:rsidR="005D6928" w:rsidRDefault="005D6928" w:rsidP="005D6928">
      <w:pPr>
        <w:pStyle w:val="Paragraphedeliste"/>
        <w:numPr>
          <w:ilvl w:val="0"/>
          <w:numId w:val="1"/>
        </w:numPr>
        <w:spacing w:after="120"/>
      </w:pPr>
      <w:r>
        <w:t xml:space="preserve">Tardives : </w:t>
      </w:r>
    </w:p>
    <w:p w:rsidR="005D6928" w:rsidRDefault="005D6928" w:rsidP="005D6928">
      <w:pPr>
        <w:pStyle w:val="Paragraphedeliste"/>
        <w:numPr>
          <w:ilvl w:val="1"/>
          <w:numId w:val="1"/>
        </w:numPr>
        <w:spacing w:after="120"/>
      </w:pPr>
      <w:r>
        <w:t>Retard de consolidation, voire absence de consolidation après 3 mois.</w:t>
      </w:r>
    </w:p>
    <w:p w:rsidR="005D6928" w:rsidRDefault="005D6928" w:rsidP="005D6928">
      <w:pPr>
        <w:pStyle w:val="Paragraphedeliste"/>
        <w:numPr>
          <w:ilvl w:val="1"/>
          <w:numId w:val="1"/>
        </w:numPr>
        <w:spacing w:after="120"/>
      </w:pPr>
      <w:r>
        <w:t xml:space="preserve">Cal vicieux : valgus/varus, flexum/recurvatum, rotatoire, chevauchement. </w:t>
      </w:r>
    </w:p>
    <w:p w:rsidR="005D6928" w:rsidRPr="00B67201" w:rsidRDefault="005D6928" w:rsidP="005D6928">
      <w:pPr>
        <w:pStyle w:val="Paragraphedeliste"/>
        <w:numPr>
          <w:ilvl w:val="1"/>
          <w:numId w:val="1"/>
        </w:numPr>
        <w:spacing w:after="120"/>
      </w:pPr>
      <w:r>
        <w:t xml:space="preserve">Pseudarthrose : elle peut faire suite à une lésion cutanée (infection de l’os), une dévascularisation (suite à la mise des plaques), une PDS osseuse ou une fracture infectée. </w:t>
      </w:r>
    </w:p>
    <w:sectPr w:rsidR="005D6928" w:rsidRPr="00B67201" w:rsidSect="00D27B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A57" w:rsidRDefault="00032A57" w:rsidP="004E1753">
      <w:pPr>
        <w:spacing w:after="0" w:line="240" w:lineRule="auto"/>
      </w:pPr>
      <w:r>
        <w:separator/>
      </w:r>
    </w:p>
  </w:endnote>
  <w:endnote w:type="continuationSeparator" w:id="1">
    <w:p w:rsidR="00032A57" w:rsidRDefault="00032A57" w:rsidP="004E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8172"/>
      <w:docPartObj>
        <w:docPartGallery w:val="Page Numbers (Bottom of Page)"/>
        <w:docPartUnique/>
      </w:docPartObj>
    </w:sdtPr>
    <w:sdtContent>
      <w:p w:rsidR="005D6928" w:rsidRDefault="005D6928">
        <w:pPr>
          <w:pStyle w:val="Pieddepage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D6928" w:rsidRDefault="005D692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A57" w:rsidRDefault="00032A57" w:rsidP="004E1753">
      <w:pPr>
        <w:spacing w:after="0" w:line="240" w:lineRule="auto"/>
      </w:pPr>
      <w:r>
        <w:separator/>
      </w:r>
    </w:p>
  </w:footnote>
  <w:footnote w:type="continuationSeparator" w:id="1">
    <w:p w:rsidR="00032A57" w:rsidRDefault="00032A57" w:rsidP="004E1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53" w:rsidRPr="004E1753" w:rsidRDefault="004E1753">
    <w:pPr>
      <w:pStyle w:val="En-tte"/>
      <w:rPr>
        <w:b/>
        <w:u w:val="single"/>
      </w:rPr>
    </w:pPr>
    <w:r w:rsidRPr="004E1753">
      <w:rPr>
        <w:b/>
        <w:u w:val="single"/>
      </w:rPr>
      <w:t>Traumatologie</w:t>
    </w:r>
  </w:p>
  <w:p w:rsidR="004E1753" w:rsidRPr="004E1753" w:rsidRDefault="004E1753">
    <w:pPr>
      <w:pStyle w:val="En-tte"/>
      <w:rPr>
        <w:i/>
      </w:rPr>
    </w:pPr>
    <w:r w:rsidRPr="004E1753">
      <w:rPr>
        <w:i/>
      </w:rPr>
      <w:t>Chapitre 4 – Les fractures de la jambe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41AFC"/>
    <w:multiLevelType w:val="hybridMultilevel"/>
    <w:tmpl w:val="7D84AB42"/>
    <w:lvl w:ilvl="0" w:tplc="53E29D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06460"/>
    <w:multiLevelType w:val="hybridMultilevel"/>
    <w:tmpl w:val="39A284A4"/>
    <w:lvl w:ilvl="0" w:tplc="04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753"/>
    <w:rsid w:val="00006953"/>
    <w:rsid w:val="00032A57"/>
    <w:rsid w:val="00285E95"/>
    <w:rsid w:val="004E1753"/>
    <w:rsid w:val="005D6928"/>
    <w:rsid w:val="007976C0"/>
    <w:rsid w:val="0082616A"/>
    <w:rsid w:val="009923F0"/>
    <w:rsid w:val="009E0F4A"/>
    <w:rsid w:val="00B67201"/>
    <w:rsid w:val="00D2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B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E1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E1753"/>
  </w:style>
  <w:style w:type="paragraph" w:styleId="Pieddepage">
    <w:name w:val="footer"/>
    <w:basedOn w:val="Normal"/>
    <w:link w:val="PieddepageCar"/>
    <w:uiPriority w:val="99"/>
    <w:unhideWhenUsed/>
    <w:rsid w:val="004E1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1753"/>
  </w:style>
  <w:style w:type="paragraph" w:styleId="Paragraphedeliste">
    <w:name w:val="List Paragraph"/>
    <w:basedOn w:val="Normal"/>
    <w:uiPriority w:val="34"/>
    <w:qFormat/>
    <w:rsid w:val="009E0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758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2008-11-02T12:01:00Z</dcterms:created>
  <dcterms:modified xsi:type="dcterms:W3CDTF">2008-11-02T12:49:00Z</dcterms:modified>
</cp:coreProperties>
</file>