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F4" w:rsidRDefault="00C336F4" w:rsidP="00D86E06">
      <w:pPr>
        <w:pStyle w:val="Titre2"/>
        <w:jc w:val="center"/>
      </w:pPr>
      <w:proofErr w:type="spellStart"/>
      <w:r>
        <w:rPr>
          <w:rFonts w:hint="eastAsia"/>
        </w:rPr>
        <w:t>現成公案</w:t>
      </w:r>
      <w:proofErr w:type="spellEnd"/>
      <w:r>
        <w:t xml:space="preserve"> [GENJÔKÔAN]</w:t>
      </w:r>
    </w:p>
    <w:p w:rsidR="00C336F4" w:rsidRPr="003B220E" w:rsidRDefault="00C336F4" w:rsidP="00D86E06">
      <w:pPr>
        <w:pStyle w:val="Titre2"/>
        <w:jc w:val="center"/>
        <w:rPr>
          <w:i/>
          <w:u w:val="single"/>
        </w:rPr>
      </w:pPr>
      <w:r w:rsidRPr="003B220E">
        <w:rPr>
          <w:i/>
          <w:u w:val="single"/>
        </w:rPr>
        <w:t>LE KÔAN QUI SE REALISE COMME PRESENCE</w:t>
      </w:r>
    </w:p>
    <w:p w:rsidR="00D86E06" w:rsidRDefault="00D86E06" w:rsidP="00D8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6E06" w:rsidRDefault="00D86E06" w:rsidP="00D8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les questions de Yoko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ce texte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Shôbôgenzô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86E06" w:rsidRDefault="00D86E06" w:rsidP="00D8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Elles ont été traitées lors des </w:t>
      </w:r>
      <w:r w:rsidR="00B6530A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séances (</w:t>
      </w:r>
      <w:r>
        <w:t>20/10/12, 17 et 24/11/12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Dojo Zen de Paris. </w:t>
      </w:r>
    </w:p>
    <w:p w:rsidR="00D86E06" w:rsidRPr="00610F0F" w:rsidRDefault="00D86E06" w:rsidP="00D8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comptes-rendus de ces </w:t>
      </w:r>
      <w:r w:rsidR="00B6530A">
        <w:rPr>
          <w:rFonts w:ascii="Times New Roman" w:eastAsia="Times New Roman" w:hAnsi="Times New Roman" w:cs="Times New Roman"/>
          <w:sz w:val="24"/>
          <w:szCs w:val="24"/>
          <w:lang w:eastAsia="fr-FR"/>
        </w:rPr>
        <w:t>trois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séances figurent sur le blog </w:t>
      </w:r>
      <w:hyperlink r:id="rId5" w:history="1">
        <w:r>
          <w:rPr>
            <w:rStyle w:val="Lienhypertexte"/>
          </w:rPr>
          <w:t>shobogenzo.eu</w:t>
        </w:r>
      </w:hyperlink>
      <w: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336F4" w:rsidRDefault="00C336F4" w:rsidP="00C336F4">
      <w:pPr>
        <w:pStyle w:val="Sansinterligne"/>
        <w:jc w:val="both"/>
      </w:pPr>
    </w:p>
    <w:p w:rsidR="00C336F4" w:rsidRDefault="00C336F4" w:rsidP="00C336F4">
      <w:pPr>
        <w:pStyle w:val="Sansinterligne"/>
        <w:jc w:val="both"/>
      </w:pPr>
    </w:p>
    <w:p w:rsidR="00D86E06" w:rsidRDefault="00D86E06" w:rsidP="00D86E06">
      <w:pPr>
        <w:pStyle w:val="Sansinterligne"/>
        <w:ind w:firstLine="284"/>
        <w:jc w:val="both"/>
      </w:pPr>
    </w:p>
    <w:p w:rsidR="00C336F4" w:rsidRDefault="00C336F4" w:rsidP="00D86E06">
      <w:pPr>
        <w:pStyle w:val="Sansinterligne"/>
        <w:ind w:firstLine="284"/>
        <w:jc w:val="both"/>
      </w:pPr>
      <w:r>
        <w:t xml:space="preserve">« Le </w:t>
      </w:r>
      <w:proofErr w:type="spellStart"/>
      <w:r>
        <w:t>kôan</w:t>
      </w:r>
      <w:proofErr w:type="spellEnd"/>
      <w:r>
        <w:t xml:space="preserve"> qui se réalise comme présence » est un véritable discours de l’</w:t>
      </w:r>
      <w:r w:rsidR="00D86E06">
        <w:t>É</w:t>
      </w:r>
      <w:r>
        <w:t>veil et annonce déjà, en toile de fond, tous les grands thèmes qui seront développés par la suite dans l’ensemble du recueil. Classé le premier texte de l’Ancienne édition, le « </w:t>
      </w:r>
      <w:proofErr w:type="spellStart"/>
      <w:r>
        <w:t>Genjôkôan</w:t>
      </w:r>
      <w:proofErr w:type="spellEnd"/>
      <w:r>
        <w:t xml:space="preserve"> » peut être considéré en quelque sorte comme la préface du </w:t>
      </w:r>
      <w:proofErr w:type="spellStart"/>
      <w:r w:rsidRPr="000B7C54">
        <w:rPr>
          <w:i/>
        </w:rPr>
        <w:t>Shôbôgenzô</w:t>
      </w:r>
      <w:proofErr w:type="spellEnd"/>
      <w:r>
        <w:t xml:space="preserve">. Il fut rédigé vers le 15 du huitième mois de l’an 1233 au monastère </w:t>
      </w:r>
      <w:proofErr w:type="spellStart"/>
      <w:r>
        <w:t>Kôshôji</w:t>
      </w:r>
      <w:proofErr w:type="spellEnd"/>
      <w:r>
        <w:t xml:space="preserve"> à Kyôto, et offert à </w:t>
      </w:r>
      <w:proofErr w:type="spellStart"/>
      <w:r>
        <w:t>Yôkôshû</w:t>
      </w:r>
      <w:proofErr w:type="spellEnd"/>
      <w:r>
        <w:t xml:space="preserve">, disciple laïc de la province de </w:t>
      </w:r>
      <w:proofErr w:type="spellStart"/>
      <w:r>
        <w:t>Chinzei</w:t>
      </w:r>
      <w:proofErr w:type="spellEnd"/>
      <w:r>
        <w:t xml:space="preserve">. Il ne fit jamais l’objet d’une instruction collective.  </w:t>
      </w:r>
    </w:p>
    <w:p w:rsidR="00C336F4" w:rsidRDefault="00C336F4" w:rsidP="00C336F4">
      <w:pPr>
        <w:pStyle w:val="Titre3"/>
        <w:jc w:val="both"/>
      </w:pPr>
      <w:r>
        <w:t>Questions</w:t>
      </w:r>
    </w:p>
    <w:p w:rsidR="00C336F4" w:rsidRDefault="00C336F4" w:rsidP="00C336F4">
      <w:pPr>
        <w:pStyle w:val="Sansinterligne"/>
        <w:numPr>
          <w:ilvl w:val="0"/>
          <w:numId w:val="13"/>
        </w:numPr>
        <w:jc w:val="both"/>
      </w:pPr>
      <w:r>
        <w:t>Quelle est la visée doctrinale de cette proposition : « </w:t>
      </w:r>
      <w:r w:rsidRPr="00EF1A37">
        <w:rPr>
          <w:i/>
        </w:rPr>
        <w:t>Où un côté s’éclaire, l’autre reste sombre</w:t>
      </w:r>
      <w:r>
        <w:t> » [</w:t>
      </w:r>
      <w:proofErr w:type="spellStart"/>
      <w:r>
        <w:t>ippô</w:t>
      </w:r>
      <w:proofErr w:type="spellEnd"/>
      <w:r>
        <w:t xml:space="preserve"> </w:t>
      </w:r>
      <w:proofErr w:type="spellStart"/>
      <w:r>
        <w:t>wo</w:t>
      </w:r>
      <w:proofErr w:type="spellEnd"/>
      <w:r>
        <w:t xml:space="preserve"> </w:t>
      </w:r>
      <w:proofErr w:type="spellStart"/>
      <w:r>
        <w:t>shôsuru</w:t>
      </w:r>
      <w:proofErr w:type="spellEnd"/>
      <w:r>
        <w:t xml:space="preserve"> </w:t>
      </w:r>
      <w:proofErr w:type="spellStart"/>
      <w:r>
        <w:t>toki</w:t>
      </w:r>
      <w:proofErr w:type="spellEnd"/>
      <w:r>
        <w:t xml:space="preserve"> ha </w:t>
      </w:r>
      <w:r>
        <w:rPr>
          <w:rFonts w:hint="eastAsia"/>
        </w:rPr>
        <w:t>一方を証するときは</w:t>
      </w:r>
      <w:r>
        <w:t xml:space="preserve"> </w:t>
      </w:r>
      <w:proofErr w:type="spellStart"/>
      <w:r>
        <w:t>ippô</w:t>
      </w:r>
      <w:proofErr w:type="spellEnd"/>
      <w:r>
        <w:t xml:space="preserve"> ha </w:t>
      </w:r>
      <w:proofErr w:type="spellStart"/>
      <w:r>
        <w:t>kurashi</w:t>
      </w:r>
      <w:proofErr w:type="spellEnd"/>
      <w:r>
        <w:t xml:space="preserve"> </w:t>
      </w:r>
      <w:r>
        <w:rPr>
          <w:rFonts w:hint="eastAsia"/>
        </w:rPr>
        <w:t>一方はくらし</w:t>
      </w:r>
      <w:r>
        <w:t>] ?</w:t>
      </w:r>
    </w:p>
    <w:p w:rsidR="00C336F4" w:rsidRDefault="00C336F4" w:rsidP="00C336F4">
      <w:pPr>
        <w:pStyle w:val="Sansinterligne"/>
        <w:numPr>
          <w:ilvl w:val="0"/>
          <w:numId w:val="13"/>
        </w:numPr>
        <w:jc w:val="both"/>
      </w:pPr>
      <w:r>
        <w:t>Expliquez le sens de l’énoncé suivant : « </w:t>
      </w:r>
      <w:r w:rsidRPr="00B47179">
        <w:rPr>
          <w:i/>
        </w:rPr>
        <w:t>Lorsque la multitude des éveillés</w:t>
      </w:r>
      <w:r>
        <w:rPr>
          <w:i/>
        </w:rPr>
        <w:t xml:space="preserve"> [</w:t>
      </w:r>
      <w:proofErr w:type="spellStart"/>
      <w:r>
        <w:rPr>
          <w:i/>
        </w:rPr>
        <w:t>shobutsu</w:t>
      </w:r>
      <w:proofErr w:type="spellEnd"/>
      <w:r>
        <w:rPr>
          <w:i/>
        </w:rPr>
        <w:t xml:space="preserve"> </w:t>
      </w:r>
      <w:r>
        <w:rPr>
          <w:rFonts w:hint="eastAsia"/>
          <w:i/>
        </w:rPr>
        <w:t>諸仏</w:t>
      </w:r>
      <w:r>
        <w:rPr>
          <w:i/>
        </w:rPr>
        <w:t xml:space="preserve">] </w:t>
      </w:r>
      <w:r w:rsidRPr="00B47179">
        <w:rPr>
          <w:i/>
        </w:rPr>
        <w:t xml:space="preserve"> est réellement la multitude des éveillés, aucun d’eux n’a à percevoir qu’il est </w:t>
      </w:r>
      <w:r>
        <w:rPr>
          <w:i/>
        </w:rPr>
        <w:t xml:space="preserve">de la multitude des </w:t>
      </w:r>
      <w:r w:rsidRPr="00B47179">
        <w:rPr>
          <w:i/>
        </w:rPr>
        <w:t>éveillé</w:t>
      </w:r>
      <w:r>
        <w:rPr>
          <w:i/>
        </w:rPr>
        <w:t>s</w:t>
      </w:r>
      <w:r w:rsidRPr="00B47179">
        <w:rPr>
          <w:i/>
        </w:rPr>
        <w:t>.</w:t>
      </w:r>
      <w:r>
        <w:t> »</w:t>
      </w:r>
    </w:p>
    <w:p w:rsidR="00C336F4" w:rsidRDefault="00C336F4" w:rsidP="00C336F4">
      <w:pPr>
        <w:pStyle w:val="Sansinterligne"/>
        <w:numPr>
          <w:ilvl w:val="0"/>
          <w:numId w:val="13"/>
        </w:numPr>
        <w:jc w:val="both"/>
      </w:pPr>
      <w:r>
        <w:t>« </w:t>
      </w:r>
      <w:r w:rsidR="00D86E06">
        <w:rPr>
          <w:i/>
        </w:rPr>
        <w:t>Apprendre la Voie de l’É</w:t>
      </w:r>
      <w:r w:rsidRPr="002A3C2E">
        <w:rPr>
          <w:i/>
        </w:rPr>
        <w:t>veillé [</w:t>
      </w:r>
      <w:proofErr w:type="spellStart"/>
      <w:r w:rsidRPr="002A3C2E">
        <w:rPr>
          <w:i/>
        </w:rPr>
        <w:t>butsudô</w:t>
      </w:r>
      <w:proofErr w:type="spellEnd"/>
      <w:r w:rsidRPr="002A3C2E">
        <w:rPr>
          <w:i/>
        </w:rPr>
        <w:t xml:space="preserve"> </w:t>
      </w:r>
      <w:r w:rsidRPr="002A3C2E">
        <w:rPr>
          <w:rFonts w:hint="eastAsia"/>
          <w:i/>
        </w:rPr>
        <w:t>仏道</w:t>
      </w:r>
      <w:r w:rsidRPr="002A3C2E">
        <w:rPr>
          <w:i/>
        </w:rPr>
        <w:t>], c’est s’apprendre soi-même [</w:t>
      </w:r>
      <w:proofErr w:type="spellStart"/>
      <w:r w:rsidRPr="002A3C2E">
        <w:rPr>
          <w:i/>
        </w:rPr>
        <w:t>jiko</w:t>
      </w:r>
      <w:proofErr w:type="spellEnd"/>
      <w:r w:rsidRPr="002A3C2E">
        <w:rPr>
          <w:i/>
        </w:rPr>
        <w:t xml:space="preserve"> </w:t>
      </w:r>
      <w:r w:rsidRPr="002A3C2E">
        <w:rPr>
          <w:rFonts w:hint="eastAsia"/>
          <w:i/>
        </w:rPr>
        <w:t>自己</w:t>
      </w:r>
      <w:r w:rsidRPr="002A3C2E">
        <w:rPr>
          <w:i/>
        </w:rPr>
        <w:t>]. S’apprendre soi-même, c’est s’oublier soi-même. S’oublier soi-même, c’est se laisser attester [</w:t>
      </w:r>
      <w:proofErr w:type="spellStart"/>
      <w:r w:rsidRPr="002A3C2E">
        <w:rPr>
          <w:i/>
        </w:rPr>
        <w:t>shô</w:t>
      </w:r>
      <w:proofErr w:type="spellEnd"/>
      <w:r w:rsidRPr="002A3C2E">
        <w:rPr>
          <w:i/>
        </w:rPr>
        <w:t xml:space="preserve"> </w:t>
      </w:r>
      <w:r w:rsidRPr="002A3C2E">
        <w:rPr>
          <w:rFonts w:hint="eastAsia"/>
          <w:i/>
        </w:rPr>
        <w:t>証</w:t>
      </w:r>
      <w:r w:rsidRPr="002A3C2E">
        <w:rPr>
          <w:i/>
        </w:rPr>
        <w:t>] par les dix mille existants [</w:t>
      </w:r>
      <w:proofErr w:type="spellStart"/>
      <w:r w:rsidRPr="002A3C2E">
        <w:rPr>
          <w:i/>
        </w:rPr>
        <w:t>banpô</w:t>
      </w:r>
      <w:proofErr w:type="spellEnd"/>
      <w:r w:rsidRPr="002A3C2E">
        <w:rPr>
          <w:i/>
        </w:rPr>
        <w:t xml:space="preserve"> </w:t>
      </w:r>
      <w:r w:rsidRPr="002A3C2E">
        <w:rPr>
          <w:rFonts w:hint="eastAsia"/>
          <w:i/>
        </w:rPr>
        <w:t>万法</w:t>
      </w:r>
      <w:r w:rsidRPr="002A3C2E">
        <w:rPr>
          <w:i/>
        </w:rPr>
        <w:t>]. Se laisser attester par les dix mille existants, c’est se laisser dépouiller [</w:t>
      </w:r>
      <w:proofErr w:type="spellStart"/>
      <w:r w:rsidRPr="002A3C2E">
        <w:rPr>
          <w:i/>
        </w:rPr>
        <w:t>datsuraku</w:t>
      </w:r>
      <w:proofErr w:type="spellEnd"/>
      <w:r w:rsidRPr="002A3C2E">
        <w:rPr>
          <w:i/>
        </w:rPr>
        <w:t xml:space="preserve"> </w:t>
      </w:r>
      <w:r w:rsidRPr="002A3C2E">
        <w:rPr>
          <w:rFonts w:hint="eastAsia"/>
          <w:i/>
        </w:rPr>
        <w:t>脱落</w:t>
      </w:r>
      <w:r w:rsidRPr="002A3C2E">
        <w:rPr>
          <w:i/>
        </w:rPr>
        <w:t>] de son corps et de son cœur ainsi que du corps et du cœur de l’autre.</w:t>
      </w:r>
      <w:r>
        <w:t> »</w:t>
      </w:r>
      <w:r w:rsidRPr="002A3C2E">
        <w:t xml:space="preserve"> </w:t>
      </w:r>
      <w:r>
        <w:t>En vous appuyant sur votre propre expérience, commentez ce célébrissime passage du « </w:t>
      </w:r>
      <w:proofErr w:type="spellStart"/>
      <w:r>
        <w:t>Genjôkôan</w:t>
      </w:r>
      <w:proofErr w:type="spellEnd"/>
      <w:r>
        <w:t xml:space="preserve"> ».  </w:t>
      </w:r>
    </w:p>
    <w:p w:rsidR="00C336F4" w:rsidRDefault="00C336F4" w:rsidP="00C336F4">
      <w:pPr>
        <w:pStyle w:val="Sansinterligne"/>
        <w:numPr>
          <w:ilvl w:val="0"/>
          <w:numId w:val="13"/>
        </w:numPr>
        <w:jc w:val="both"/>
      </w:pPr>
      <w:r>
        <w:t xml:space="preserve">« </w:t>
      </w:r>
      <w:r w:rsidRPr="00B47179">
        <w:rPr>
          <w:i/>
        </w:rPr>
        <w:t xml:space="preserve">Tant que la Loi </w:t>
      </w:r>
      <w:r>
        <w:rPr>
          <w:i/>
        </w:rPr>
        <w:t>[</w:t>
      </w:r>
      <w:proofErr w:type="spellStart"/>
      <w:r>
        <w:rPr>
          <w:i/>
        </w:rPr>
        <w:t>hô</w:t>
      </w:r>
      <w:proofErr w:type="spellEnd"/>
      <w:r>
        <w:rPr>
          <w:i/>
        </w:rPr>
        <w:t xml:space="preserve"> </w:t>
      </w:r>
      <w:r>
        <w:rPr>
          <w:rFonts w:hint="eastAsia"/>
          <w:i/>
        </w:rPr>
        <w:t>法</w:t>
      </w:r>
      <w:r>
        <w:rPr>
          <w:i/>
        </w:rPr>
        <w:t xml:space="preserve">] </w:t>
      </w:r>
      <w:r w:rsidRPr="00B47179">
        <w:rPr>
          <w:i/>
        </w:rPr>
        <w:t>n’atteint pas encore sa plénitude dans le corps et le cœur, on la trouve déjà suffisante. Si la Loi imprègne le corps et le cœur, on y trouve quelque manque</w:t>
      </w:r>
      <w:r>
        <w:rPr>
          <w:i/>
        </w:rPr>
        <w:t>.</w:t>
      </w:r>
      <w:r>
        <w:t xml:space="preserve"> » Explicitez le sens de l’énoncé, puis trouvez au début du texte une autre phrase qui délivre le même enseignement. </w:t>
      </w:r>
    </w:p>
    <w:p w:rsidR="00C336F4" w:rsidRDefault="00C336F4" w:rsidP="00C336F4">
      <w:pPr>
        <w:pStyle w:val="Sansinterligne"/>
        <w:jc w:val="both"/>
      </w:pPr>
      <w:r>
        <w:t xml:space="preserve">    </w:t>
      </w:r>
    </w:p>
    <w:p w:rsidR="00C336F4" w:rsidRDefault="00C336F4" w:rsidP="00C336F4">
      <w:pPr>
        <w:pStyle w:val="Titre3"/>
        <w:jc w:val="both"/>
      </w:pPr>
      <w:proofErr w:type="spellStart"/>
      <w:r>
        <w:t>Kanjis</w:t>
      </w:r>
      <w:proofErr w:type="spellEnd"/>
      <w:r>
        <w:t xml:space="preserve"> à apprendre </w:t>
      </w:r>
    </w:p>
    <w:p w:rsidR="00C336F4" w:rsidRDefault="00C336F4" w:rsidP="00C336F4">
      <w:pPr>
        <w:pStyle w:val="Sansinterligne"/>
        <w:jc w:val="both"/>
      </w:pPr>
      <w:r>
        <w:rPr>
          <w:rFonts w:hint="eastAsia"/>
        </w:rPr>
        <w:t>現成</w:t>
      </w:r>
      <w:r>
        <w:t xml:space="preserve"> [</w:t>
      </w:r>
      <w:proofErr w:type="spellStart"/>
      <w:r>
        <w:t>genjô</w:t>
      </w:r>
      <w:proofErr w:type="spellEnd"/>
      <w:r>
        <w:t xml:space="preserve">], </w:t>
      </w:r>
      <w:r>
        <w:rPr>
          <w:rFonts w:hint="eastAsia"/>
        </w:rPr>
        <w:t>見成</w:t>
      </w:r>
      <w:r>
        <w:t xml:space="preserve"> [</w:t>
      </w:r>
      <w:proofErr w:type="spellStart"/>
      <w:r>
        <w:t>kenjô</w:t>
      </w:r>
      <w:proofErr w:type="spellEnd"/>
      <w:r>
        <w:t xml:space="preserve">], </w:t>
      </w:r>
      <w:r>
        <w:rPr>
          <w:rFonts w:hint="eastAsia"/>
        </w:rPr>
        <w:t>公案</w:t>
      </w:r>
      <w:r>
        <w:t xml:space="preserve"> [</w:t>
      </w:r>
      <w:proofErr w:type="spellStart"/>
      <w:r>
        <w:t>kôan</w:t>
      </w:r>
      <w:proofErr w:type="spellEnd"/>
      <w:r>
        <w:t xml:space="preserve">],  </w:t>
      </w:r>
      <w:r>
        <w:rPr>
          <w:rFonts w:hint="eastAsia"/>
        </w:rPr>
        <w:t>仏法</w:t>
      </w:r>
      <w:r>
        <w:t xml:space="preserve"> [</w:t>
      </w:r>
      <w:proofErr w:type="spellStart"/>
      <w:r>
        <w:t>buppô</w:t>
      </w:r>
      <w:proofErr w:type="spellEnd"/>
      <w:r>
        <w:t xml:space="preserve">], </w:t>
      </w:r>
      <w:r>
        <w:rPr>
          <w:rFonts w:hint="eastAsia"/>
        </w:rPr>
        <w:t>仏道</w:t>
      </w:r>
      <w:r>
        <w:t xml:space="preserve"> [</w:t>
      </w:r>
      <w:proofErr w:type="spellStart"/>
      <w:r>
        <w:t>butsudô</w:t>
      </w:r>
      <w:proofErr w:type="spellEnd"/>
      <w:r>
        <w:t xml:space="preserve">], </w:t>
      </w:r>
      <w:r>
        <w:rPr>
          <w:rFonts w:hint="eastAsia"/>
        </w:rPr>
        <w:t>修行</w:t>
      </w:r>
      <w:r>
        <w:t xml:space="preserve"> [</w:t>
      </w:r>
      <w:proofErr w:type="spellStart"/>
      <w:r>
        <w:t>shugyô</w:t>
      </w:r>
      <w:proofErr w:type="spellEnd"/>
      <w:r>
        <w:t>]</w:t>
      </w:r>
    </w:p>
    <w:p w:rsidR="001D0FD7" w:rsidRPr="00C336F4" w:rsidRDefault="001D0FD7" w:rsidP="00C336F4"/>
    <w:sectPr w:rsidR="001D0FD7" w:rsidRPr="00C336F4" w:rsidSect="001D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79"/>
    <w:multiLevelType w:val="multilevel"/>
    <w:tmpl w:val="247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7E5E"/>
    <w:multiLevelType w:val="multilevel"/>
    <w:tmpl w:val="7C7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80C96"/>
    <w:multiLevelType w:val="multilevel"/>
    <w:tmpl w:val="FEE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7FA"/>
    <w:multiLevelType w:val="hybridMultilevel"/>
    <w:tmpl w:val="51102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3BA"/>
    <w:multiLevelType w:val="multilevel"/>
    <w:tmpl w:val="63E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81104"/>
    <w:multiLevelType w:val="multilevel"/>
    <w:tmpl w:val="E03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14424"/>
    <w:multiLevelType w:val="multilevel"/>
    <w:tmpl w:val="D7DE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C59C0"/>
    <w:multiLevelType w:val="multilevel"/>
    <w:tmpl w:val="BFCE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B7DDD"/>
    <w:multiLevelType w:val="multilevel"/>
    <w:tmpl w:val="B366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06CA3"/>
    <w:multiLevelType w:val="multilevel"/>
    <w:tmpl w:val="CF94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56223"/>
    <w:multiLevelType w:val="multilevel"/>
    <w:tmpl w:val="5E3E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30BC5"/>
    <w:multiLevelType w:val="multilevel"/>
    <w:tmpl w:val="9282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C0FF1"/>
    <w:multiLevelType w:val="multilevel"/>
    <w:tmpl w:val="A67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F0F"/>
    <w:rsid w:val="00053473"/>
    <w:rsid w:val="00194CD8"/>
    <w:rsid w:val="001D0FD7"/>
    <w:rsid w:val="003C3639"/>
    <w:rsid w:val="004F521A"/>
    <w:rsid w:val="00610F0F"/>
    <w:rsid w:val="006C4D3C"/>
    <w:rsid w:val="00804344"/>
    <w:rsid w:val="0084759C"/>
    <w:rsid w:val="008D0A5E"/>
    <w:rsid w:val="009957EB"/>
    <w:rsid w:val="00B6530A"/>
    <w:rsid w:val="00BB432E"/>
    <w:rsid w:val="00C07DCC"/>
    <w:rsid w:val="00C336F4"/>
    <w:rsid w:val="00C411AB"/>
    <w:rsid w:val="00C72B17"/>
    <w:rsid w:val="00D47DC1"/>
    <w:rsid w:val="00D637F5"/>
    <w:rsid w:val="00D742BF"/>
    <w:rsid w:val="00D86E06"/>
    <w:rsid w:val="00DF3307"/>
    <w:rsid w:val="00E4226A"/>
    <w:rsid w:val="00F320EB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D7"/>
  </w:style>
  <w:style w:type="paragraph" w:styleId="Titre2">
    <w:name w:val="heading 2"/>
    <w:basedOn w:val="Normal"/>
    <w:link w:val="Titre2Car"/>
    <w:uiPriority w:val="9"/>
    <w:qFormat/>
    <w:rsid w:val="0061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10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0F0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10F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10F0F"/>
    <w:rPr>
      <w:i/>
      <w:iCs/>
    </w:rPr>
  </w:style>
  <w:style w:type="paragraph" w:styleId="Sansinterligne">
    <w:name w:val="No Spacing"/>
    <w:uiPriority w:val="1"/>
    <w:qFormat/>
    <w:rsid w:val="00C336F4"/>
    <w:pPr>
      <w:spacing w:after="0" w:line="240" w:lineRule="auto"/>
    </w:pPr>
    <w:rPr>
      <w:rFonts w:eastAsiaTheme="minorEastAsia"/>
      <w:lang w:eastAsia="ja-JP"/>
    </w:rPr>
  </w:style>
  <w:style w:type="character" w:styleId="Lienhypertexte">
    <w:name w:val="Hyperlink"/>
    <w:basedOn w:val="Policepardfaut"/>
    <w:uiPriority w:val="99"/>
    <w:semiHidden/>
    <w:unhideWhenUsed/>
    <w:rsid w:val="00D86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bogenz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11</cp:revision>
  <cp:lastPrinted>2013-04-10T07:25:00Z</cp:lastPrinted>
  <dcterms:created xsi:type="dcterms:W3CDTF">2012-10-24T06:27:00Z</dcterms:created>
  <dcterms:modified xsi:type="dcterms:W3CDTF">2013-04-10T07:25:00Z</dcterms:modified>
</cp:coreProperties>
</file>