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50" w:type="dxa"/>
        <w:jc w:val="center"/>
        <w:tblCellSpacing w:w="0" w:type="dxa"/>
        <w:tblCellMar>
          <w:left w:w="0" w:type="dxa"/>
          <w:right w:w="0" w:type="dxa"/>
        </w:tblCellMar>
        <w:tblLook w:val="04A0"/>
      </w:tblPr>
      <w:tblGrid>
        <w:gridCol w:w="9064"/>
      </w:tblGrid>
      <w:tr w:rsidR="00E70FA3" w:rsidRPr="00AA32C9" w:rsidTr="00CF3E89">
        <w:trPr>
          <w:tblCellSpacing w:w="0" w:type="dxa"/>
          <w:jc w:val="center"/>
        </w:trPr>
        <w:tc>
          <w:tcPr>
            <w:tcW w:w="0" w:type="auto"/>
            <w:vAlign w:val="center"/>
            <w:hideMark/>
          </w:tcPr>
          <w:p w:rsidR="00E70FA3" w:rsidRPr="00AA32C9" w:rsidRDefault="00E70FA3" w:rsidP="00CF3E89">
            <w:pPr>
              <w:spacing w:before="100" w:beforeAutospacing="1" w:after="100" w:afterAutospacing="1" w:line="240" w:lineRule="auto"/>
              <w:rPr>
                <w:rFonts w:ascii="Times New Roman" w:eastAsia="Times New Roman" w:hAnsi="Times New Roman" w:cs="Times New Roman"/>
                <w:sz w:val="24"/>
                <w:szCs w:val="24"/>
                <w:lang w:eastAsia="fr-FR"/>
              </w:rPr>
            </w:pPr>
            <w:r w:rsidRPr="008C2AB1">
              <w:rPr>
                <w:rFonts w:ascii="Arial" w:eastAsia="Times New Roman" w:hAnsi="Arial" w:cs="Arial"/>
                <w:b/>
                <w:bCs/>
                <w:color w:val="FF0000"/>
                <w:sz w:val="40"/>
                <w:szCs w:val="40"/>
                <w:lang w:eastAsia="fr-FR"/>
              </w:rPr>
              <w:t>La symbolique des couleurs.</w:t>
            </w:r>
          </w:p>
        </w:tc>
      </w:tr>
      <w:tr w:rsidR="00E70FA3" w:rsidRPr="00AA32C9" w:rsidTr="00CF3E89">
        <w:trPr>
          <w:tblCellSpacing w:w="0" w:type="dxa"/>
          <w:jc w:val="center"/>
        </w:trPr>
        <w:tc>
          <w:tcPr>
            <w:tcW w:w="0" w:type="auto"/>
            <w:vAlign w:val="center"/>
            <w:hideMark/>
          </w:tcPr>
          <w:p w:rsidR="00E70FA3" w:rsidRPr="00AA32C9" w:rsidRDefault="00E70FA3" w:rsidP="00CF3E89">
            <w:pPr>
              <w:spacing w:before="100" w:beforeAutospacing="1" w:after="100" w:afterAutospacing="1" w:line="240" w:lineRule="auto"/>
              <w:rPr>
                <w:rFonts w:ascii="Times New Roman" w:eastAsia="Times New Roman" w:hAnsi="Times New Roman" w:cs="Times New Roman"/>
                <w:sz w:val="24"/>
                <w:szCs w:val="24"/>
                <w:lang w:eastAsia="fr-FR"/>
              </w:rPr>
            </w:pPr>
          </w:p>
        </w:tc>
      </w:tr>
      <w:tr w:rsidR="00E70FA3" w:rsidRPr="00AA32C9" w:rsidTr="00CF3E89">
        <w:trPr>
          <w:tblCellSpacing w:w="0" w:type="dxa"/>
          <w:jc w:val="center"/>
        </w:trPr>
        <w:tc>
          <w:tcPr>
            <w:tcW w:w="0" w:type="auto"/>
            <w:vAlign w:val="center"/>
            <w:hideMark/>
          </w:tcPr>
          <w:p w:rsidR="00E70FA3" w:rsidRPr="00AA32C9" w:rsidRDefault="00E70FA3" w:rsidP="00CF3E89">
            <w:pPr>
              <w:spacing w:after="0" w:line="240" w:lineRule="auto"/>
              <w:rPr>
                <w:rFonts w:ascii="Times New Roman" w:eastAsia="Times New Roman" w:hAnsi="Times New Roman" w:cs="Times New Roman"/>
                <w:sz w:val="24"/>
                <w:szCs w:val="24"/>
                <w:lang w:eastAsia="fr-FR"/>
              </w:rPr>
            </w:pPr>
          </w:p>
          <w:tbl>
            <w:tblPr>
              <w:tblW w:w="9064" w:type="dxa"/>
              <w:tblCellSpacing w:w="7" w:type="dxa"/>
              <w:tblCellMar>
                <w:left w:w="0" w:type="dxa"/>
                <w:right w:w="0" w:type="dxa"/>
              </w:tblCellMar>
              <w:tblLook w:val="04A0"/>
            </w:tblPr>
            <w:tblGrid>
              <w:gridCol w:w="9064"/>
            </w:tblGrid>
            <w:tr w:rsidR="00E70FA3" w:rsidRPr="00AA32C9" w:rsidTr="00CF3E89">
              <w:trPr>
                <w:tblCellSpacing w:w="7" w:type="dxa"/>
              </w:trPr>
              <w:tc>
                <w:tcPr>
                  <w:tcW w:w="9036" w:type="dxa"/>
                  <w:vAlign w:val="center"/>
                  <w:hideMark/>
                </w:tcPr>
                <w:p w:rsidR="00E70FA3" w:rsidRPr="00AA32C9" w:rsidRDefault="00E70FA3" w:rsidP="00CF3E8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A32C9">
                    <w:rPr>
                      <w:rFonts w:ascii="Arial" w:eastAsia="Times New Roman" w:hAnsi="Arial" w:cs="Arial"/>
                      <w:sz w:val="20"/>
                      <w:szCs w:val="20"/>
                      <w:lang w:eastAsia="fr-FR"/>
                    </w:rPr>
                    <w:t>Le symbolisme des couleurs concerne l’historien, le sociologue, le psychologue, le styliste... Une littérature abondante lui est consacrée, et dans des domaines très variés, du symbolisme ésotérique au symbole graphique (panneau de signalisation routière), et passant par l’art religieux et le compagnonnage. Suivant les domaines, les lieux ou les époques, les réponses sont semblables ou différentes, voire contradictoires, car chaque civilisation, chaque groupe, s’est forgé un symbolisme émanant de sa propre culture. En outre, il apparaît que les couleurs ont un pouvoir physique, physiologique et psychologique sur tout ce qui vit (voir l’utilisation qu’en font les caméléons et certains insectes pour leur défense, le paon et le publiciste pour la séduction, etc.)</w:t>
                  </w:r>
                </w:p>
                <w:p w:rsidR="00E70FA3" w:rsidRPr="00AA32C9" w:rsidRDefault="00E70FA3" w:rsidP="00CF3E8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A32C9">
                    <w:rPr>
                      <w:rFonts w:ascii="Arial" w:eastAsia="Times New Roman" w:hAnsi="Arial" w:cs="Arial"/>
                      <w:sz w:val="20"/>
                      <w:szCs w:val="20"/>
                      <w:lang w:eastAsia="fr-FR"/>
                    </w:rPr>
                    <w:t>De nombreux ouvrages examinent l’expression des couleurs et leurs différents pouvoirs. Certains, étayés par des travaux scientifiques, montrent l’action de la couleur sur l’organisme humain ou animal, d’autres se basent sur des tests psychologiques sérieux pour des études de comportement, d’autres encore rejoignent le symbolisme ou l’ésotérisme avec par fois des contradictions car il s’agit là de sensations non chiffrables et relatives, mais néanmoins intéressantes.</w:t>
                  </w:r>
                </w:p>
                <w:p w:rsidR="00E70FA3" w:rsidRPr="00AA32C9" w:rsidRDefault="00E70FA3" w:rsidP="00CF3E8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A32C9">
                    <w:rPr>
                      <w:rFonts w:ascii="Arial" w:eastAsia="Times New Roman" w:hAnsi="Arial" w:cs="Arial"/>
                      <w:sz w:val="20"/>
                      <w:szCs w:val="20"/>
                      <w:lang w:eastAsia="fr-FR"/>
                    </w:rPr>
                    <w:t>Une couleur peut agir seul sur notre comportement. Il est admis que, dans l’environnement, le vert détend, l’orangé est tonique, le rouge est excitant, etc. mais aucun instrument ne peut quantifier ce qu’une couleur exprime. Il est cependant une notion souvent utilisée par les coloristes ou les peintres que l’on peut prendre en compte, c’est la sensation de chaud ou de froid que l’on peut ressentir devant une couleur.</w:t>
                  </w:r>
                </w:p>
                <w:p w:rsidR="00E70FA3" w:rsidRDefault="00E70FA3" w:rsidP="00CF3E89">
                  <w:pPr>
                    <w:spacing w:before="100" w:beforeAutospacing="1" w:after="100" w:afterAutospacing="1" w:line="240" w:lineRule="auto"/>
                    <w:jc w:val="both"/>
                    <w:rPr>
                      <w:rFonts w:ascii="Arial" w:eastAsia="Times New Roman" w:hAnsi="Arial" w:cs="Arial"/>
                      <w:sz w:val="20"/>
                      <w:szCs w:val="20"/>
                      <w:lang w:eastAsia="fr-FR"/>
                    </w:rPr>
                  </w:pPr>
                  <w:r w:rsidRPr="00AA32C9">
                    <w:rPr>
                      <w:rFonts w:ascii="Arial" w:eastAsia="Times New Roman" w:hAnsi="Arial" w:cs="Arial"/>
                      <w:sz w:val="20"/>
                      <w:szCs w:val="20"/>
                      <w:lang w:eastAsia="fr-FR"/>
                    </w:rPr>
                    <w:t>Est-ce parce que le bleu d’un glacier est proche du cyan et que le flamme d’un brasier est proche du vermillon que ces deux couleurs sont réputées représenter le mieux ces deux sensations ? Les robinets d’eau chaude et froide sont repérés dans le monde entier par le bleu et le rouge. C’est dire que ce lien est bien établi... D’après différents auteurs, d’autres expressions, regroupées dans le tableau suivant sont souvent associées à cette notion de chaud et de froid.</w:t>
                  </w:r>
                </w:p>
                <w:p w:rsidR="00E70FA3" w:rsidRDefault="00E70FA3" w:rsidP="00CF3E89">
                  <w:pPr>
                    <w:spacing w:before="100" w:beforeAutospacing="1" w:after="100" w:afterAutospacing="1" w:line="240" w:lineRule="auto"/>
                    <w:jc w:val="both"/>
                    <w:rPr>
                      <w:rFonts w:ascii="Arial" w:eastAsia="Times New Roman" w:hAnsi="Arial" w:cs="Arial"/>
                      <w:sz w:val="20"/>
                      <w:szCs w:val="20"/>
                      <w:lang w:eastAsia="fr-FR"/>
                    </w:rPr>
                  </w:pPr>
                </w:p>
                <w:p w:rsidR="00E70FA3" w:rsidRPr="00AA32C9" w:rsidRDefault="00E70FA3" w:rsidP="00CF3E89">
                  <w:pPr>
                    <w:spacing w:before="100" w:beforeAutospacing="1" w:after="100" w:afterAutospacing="1" w:line="240" w:lineRule="auto"/>
                    <w:jc w:val="both"/>
                    <w:rPr>
                      <w:rFonts w:ascii="Times New Roman" w:eastAsia="Times New Roman" w:hAnsi="Times New Roman" w:cs="Times New Roman"/>
                      <w:sz w:val="24"/>
                      <w:szCs w:val="24"/>
                      <w:lang w:eastAsia="fr-FR"/>
                    </w:rPr>
                  </w:pPr>
                </w:p>
                <w:tbl>
                  <w:tblPr>
                    <w:tblW w:w="4000" w:type="pct"/>
                    <w:jc w:val="center"/>
                    <w:tblCellSpacing w:w="22" w:type="dxa"/>
                    <w:tblBorders>
                      <w:top w:val="outset" w:sz="18" w:space="0" w:color="auto"/>
                      <w:left w:val="outset" w:sz="18" w:space="0" w:color="auto"/>
                      <w:bottom w:val="outset" w:sz="18" w:space="0" w:color="auto"/>
                      <w:right w:val="outset" w:sz="18" w:space="0" w:color="auto"/>
                    </w:tblBorders>
                    <w:tblCellMar>
                      <w:top w:w="45" w:type="dxa"/>
                      <w:left w:w="45" w:type="dxa"/>
                      <w:bottom w:w="45" w:type="dxa"/>
                      <w:right w:w="45" w:type="dxa"/>
                    </w:tblCellMar>
                    <w:tblLook w:val="04A0"/>
                  </w:tblPr>
                  <w:tblGrid>
                    <w:gridCol w:w="3608"/>
                    <w:gridCol w:w="3608"/>
                  </w:tblGrid>
                  <w:tr w:rsidR="00E70FA3" w:rsidRPr="00AA32C9" w:rsidTr="00CF3E89">
                    <w:trPr>
                      <w:tblCellSpacing w:w="22" w:type="dxa"/>
                      <w:jc w:val="center"/>
                    </w:trPr>
                    <w:tc>
                      <w:tcPr>
                        <w:tcW w:w="2500" w:type="pct"/>
                        <w:tcBorders>
                          <w:top w:val="outset" w:sz="6" w:space="0" w:color="auto"/>
                          <w:left w:val="outset" w:sz="6" w:space="0" w:color="auto"/>
                          <w:bottom w:val="outset" w:sz="6" w:space="0" w:color="auto"/>
                          <w:right w:val="outset" w:sz="6" w:space="0" w:color="auto"/>
                        </w:tcBorders>
                        <w:hideMark/>
                      </w:tcPr>
                      <w:p w:rsidR="00E70FA3" w:rsidRPr="00AA32C9" w:rsidRDefault="00E70FA3" w:rsidP="00CF3E8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A32C9">
                          <w:rPr>
                            <w:rFonts w:ascii="Arial" w:eastAsia="Times New Roman" w:hAnsi="Arial" w:cs="Arial"/>
                            <w:b/>
                            <w:bCs/>
                            <w:sz w:val="20"/>
                            <w:szCs w:val="20"/>
                            <w:lang w:eastAsia="fr-FR"/>
                          </w:rPr>
                          <w:t>FROID</w:t>
                        </w:r>
                      </w:p>
                    </w:tc>
                    <w:tc>
                      <w:tcPr>
                        <w:tcW w:w="2500" w:type="pct"/>
                        <w:tcBorders>
                          <w:top w:val="outset" w:sz="6" w:space="0" w:color="auto"/>
                          <w:left w:val="outset" w:sz="6" w:space="0" w:color="auto"/>
                          <w:bottom w:val="outset" w:sz="6" w:space="0" w:color="auto"/>
                          <w:right w:val="outset" w:sz="6" w:space="0" w:color="auto"/>
                        </w:tcBorders>
                        <w:hideMark/>
                      </w:tcPr>
                      <w:p w:rsidR="00E70FA3" w:rsidRPr="00AA32C9" w:rsidRDefault="00E70FA3" w:rsidP="00CF3E8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A32C9">
                          <w:rPr>
                            <w:rFonts w:ascii="Arial" w:eastAsia="Times New Roman" w:hAnsi="Arial" w:cs="Arial"/>
                            <w:b/>
                            <w:bCs/>
                            <w:sz w:val="20"/>
                            <w:szCs w:val="20"/>
                            <w:lang w:eastAsia="fr-FR"/>
                          </w:rPr>
                          <w:t>CHAUD</w:t>
                        </w:r>
                      </w:p>
                    </w:tc>
                  </w:tr>
                  <w:tr w:rsidR="00E70FA3" w:rsidRPr="00AA32C9" w:rsidTr="00CF3E89">
                    <w:trPr>
                      <w:tblCellSpacing w:w="22" w:type="dxa"/>
                      <w:jc w:val="center"/>
                    </w:trPr>
                    <w:tc>
                      <w:tcPr>
                        <w:tcW w:w="2500" w:type="pct"/>
                        <w:tcBorders>
                          <w:top w:val="outset" w:sz="6" w:space="0" w:color="auto"/>
                          <w:left w:val="outset" w:sz="6" w:space="0" w:color="auto"/>
                          <w:bottom w:val="outset" w:sz="6" w:space="0" w:color="auto"/>
                          <w:right w:val="outset" w:sz="6" w:space="0" w:color="auto"/>
                        </w:tcBorders>
                        <w:hideMark/>
                      </w:tcPr>
                      <w:p w:rsidR="00E70FA3" w:rsidRPr="00AA32C9" w:rsidRDefault="00E70FA3" w:rsidP="00CF3E8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A32C9">
                          <w:rPr>
                            <w:rFonts w:ascii="Arial" w:eastAsia="Times New Roman" w:hAnsi="Arial" w:cs="Arial"/>
                            <w:sz w:val="20"/>
                            <w:szCs w:val="20"/>
                            <w:lang w:eastAsia="fr-FR"/>
                          </w:rPr>
                          <w:t>bleu</w:t>
                        </w:r>
                      </w:p>
                    </w:tc>
                    <w:tc>
                      <w:tcPr>
                        <w:tcW w:w="2500" w:type="pct"/>
                        <w:tcBorders>
                          <w:top w:val="outset" w:sz="6" w:space="0" w:color="auto"/>
                          <w:left w:val="outset" w:sz="6" w:space="0" w:color="auto"/>
                          <w:bottom w:val="outset" w:sz="6" w:space="0" w:color="auto"/>
                          <w:right w:val="outset" w:sz="6" w:space="0" w:color="auto"/>
                        </w:tcBorders>
                        <w:hideMark/>
                      </w:tcPr>
                      <w:p w:rsidR="00E70FA3" w:rsidRPr="00AA32C9" w:rsidRDefault="00E70FA3" w:rsidP="00CF3E8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A32C9">
                          <w:rPr>
                            <w:rFonts w:ascii="Arial" w:eastAsia="Times New Roman" w:hAnsi="Arial" w:cs="Arial"/>
                            <w:sz w:val="20"/>
                            <w:szCs w:val="20"/>
                            <w:lang w:eastAsia="fr-FR"/>
                          </w:rPr>
                          <w:t>rouge</w:t>
                        </w:r>
                      </w:p>
                    </w:tc>
                  </w:tr>
                  <w:tr w:rsidR="00E70FA3" w:rsidRPr="00AA32C9" w:rsidTr="00CF3E89">
                    <w:trPr>
                      <w:tblCellSpacing w:w="22" w:type="dxa"/>
                      <w:jc w:val="center"/>
                    </w:trPr>
                    <w:tc>
                      <w:tcPr>
                        <w:tcW w:w="2500" w:type="pct"/>
                        <w:tcBorders>
                          <w:top w:val="outset" w:sz="6" w:space="0" w:color="auto"/>
                          <w:left w:val="outset" w:sz="6" w:space="0" w:color="auto"/>
                          <w:bottom w:val="outset" w:sz="6" w:space="0" w:color="auto"/>
                          <w:right w:val="outset" w:sz="6" w:space="0" w:color="auto"/>
                        </w:tcBorders>
                        <w:hideMark/>
                      </w:tcPr>
                      <w:p w:rsidR="00E70FA3" w:rsidRPr="00AA32C9" w:rsidRDefault="00E70FA3" w:rsidP="00CF3E8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A32C9">
                          <w:rPr>
                            <w:rFonts w:ascii="Arial" w:eastAsia="Times New Roman" w:hAnsi="Arial" w:cs="Arial"/>
                            <w:sz w:val="20"/>
                            <w:szCs w:val="20"/>
                            <w:lang w:eastAsia="fr-FR"/>
                          </w:rPr>
                          <w:t>moins</w:t>
                        </w:r>
                      </w:p>
                    </w:tc>
                    <w:tc>
                      <w:tcPr>
                        <w:tcW w:w="2500" w:type="pct"/>
                        <w:tcBorders>
                          <w:top w:val="outset" w:sz="6" w:space="0" w:color="auto"/>
                          <w:left w:val="outset" w:sz="6" w:space="0" w:color="auto"/>
                          <w:bottom w:val="outset" w:sz="6" w:space="0" w:color="auto"/>
                          <w:right w:val="outset" w:sz="6" w:space="0" w:color="auto"/>
                        </w:tcBorders>
                        <w:hideMark/>
                      </w:tcPr>
                      <w:p w:rsidR="00E70FA3" w:rsidRPr="00AA32C9" w:rsidRDefault="00E70FA3" w:rsidP="00CF3E8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A32C9">
                          <w:rPr>
                            <w:rFonts w:ascii="Arial" w:eastAsia="Times New Roman" w:hAnsi="Arial" w:cs="Arial"/>
                            <w:sz w:val="20"/>
                            <w:szCs w:val="20"/>
                            <w:lang w:eastAsia="fr-FR"/>
                          </w:rPr>
                          <w:t>plus</w:t>
                        </w:r>
                      </w:p>
                    </w:tc>
                  </w:tr>
                  <w:tr w:rsidR="00E70FA3" w:rsidRPr="00AA32C9" w:rsidTr="00CF3E89">
                    <w:trPr>
                      <w:tblCellSpacing w:w="22" w:type="dxa"/>
                      <w:jc w:val="center"/>
                    </w:trPr>
                    <w:tc>
                      <w:tcPr>
                        <w:tcW w:w="2500" w:type="pct"/>
                        <w:tcBorders>
                          <w:top w:val="outset" w:sz="6" w:space="0" w:color="auto"/>
                          <w:left w:val="outset" w:sz="6" w:space="0" w:color="auto"/>
                          <w:bottom w:val="outset" w:sz="6" w:space="0" w:color="auto"/>
                          <w:right w:val="outset" w:sz="6" w:space="0" w:color="auto"/>
                        </w:tcBorders>
                        <w:hideMark/>
                      </w:tcPr>
                      <w:p w:rsidR="00E70FA3" w:rsidRPr="00AA32C9" w:rsidRDefault="00E70FA3" w:rsidP="00CF3E8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A32C9">
                          <w:rPr>
                            <w:rFonts w:ascii="Arial" w:eastAsia="Times New Roman" w:hAnsi="Arial" w:cs="Arial"/>
                            <w:sz w:val="20"/>
                            <w:szCs w:val="20"/>
                            <w:lang w:eastAsia="fr-FR"/>
                          </w:rPr>
                          <w:t>ombragé</w:t>
                        </w:r>
                      </w:p>
                    </w:tc>
                    <w:tc>
                      <w:tcPr>
                        <w:tcW w:w="2500" w:type="pct"/>
                        <w:tcBorders>
                          <w:top w:val="outset" w:sz="6" w:space="0" w:color="auto"/>
                          <w:left w:val="outset" w:sz="6" w:space="0" w:color="auto"/>
                          <w:bottom w:val="outset" w:sz="6" w:space="0" w:color="auto"/>
                          <w:right w:val="outset" w:sz="6" w:space="0" w:color="auto"/>
                        </w:tcBorders>
                        <w:hideMark/>
                      </w:tcPr>
                      <w:p w:rsidR="00E70FA3" w:rsidRPr="00AA32C9" w:rsidRDefault="00E70FA3" w:rsidP="00CF3E8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A32C9">
                          <w:rPr>
                            <w:rFonts w:ascii="Arial" w:eastAsia="Times New Roman" w:hAnsi="Arial" w:cs="Arial"/>
                            <w:sz w:val="20"/>
                            <w:szCs w:val="20"/>
                            <w:lang w:eastAsia="fr-FR"/>
                          </w:rPr>
                          <w:t>ensoleillé</w:t>
                        </w:r>
                      </w:p>
                    </w:tc>
                  </w:tr>
                  <w:tr w:rsidR="00E70FA3" w:rsidRPr="00AA32C9" w:rsidTr="00CF3E89">
                    <w:trPr>
                      <w:tblCellSpacing w:w="22" w:type="dxa"/>
                      <w:jc w:val="center"/>
                    </w:trPr>
                    <w:tc>
                      <w:tcPr>
                        <w:tcW w:w="2500" w:type="pct"/>
                        <w:tcBorders>
                          <w:top w:val="outset" w:sz="6" w:space="0" w:color="auto"/>
                          <w:left w:val="outset" w:sz="6" w:space="0" w:color="auto"/>
                          <w:bottom w:val="outset" w:sz="6" w:space="0" w:color="auto"/>
                          <w:right w:val="outset" w:sz="6" w:space="0" w:color="auto"/>
                        </w:tcBorders>
                        <w:hideMark/>
                      </w:tcPr>
                      <w:p w:rsidR="00E70FA3" w:rsidRPr="00AA32C9" w:rsidRDefault="00E70FA3" w:rsidP="00CF3E8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A32C9">
                          <w:rPr>
                            <w:rFonts w:ascii="Arial" w:eastAsia="Times New Roman" w:hAnsi="Arial" w:cs="Arial"/>
                            <w:sz w:val="20"/>
                            <w:szCs w:val="20"/>
                            <w:lang w:eastAsia="fr-FR"/>
                          </w:rPr>
                          <w:t>apaisant</w:t>
                        </w:r>
                      </w:p>
                    </w:tc>
                    <w:tc>
                      <w:tcPr>
                        <w:tcW w:w="2500" w:type="pct"/>
                        <w:tcBorders>
                          <w:top w:val="outset" w:sz="6" w:space="0" w:color="auto"/>
                          <w:left w:val="outset" w:sz="6" w:space="0" w:color="auto"/>
                          <w:bottom w:val="outset" w:sz="6" w:space="0" w:color="auto"/>
                          <w:right w:val="outset" w:sz="6" w:space="0" w:color="auto"/>
                        </w:tcBorders>
                        <w:hideMark/>
                      </w:tcPr>
                      <w:p w:rsidR="00E70FA3" w:rsidRPr="00AA32C9" w:rsidRDefault="00E70FA3" w:rsidP="00CF3E8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A32C9">
                          <w:rPr>
                            <w:rFonts w:ascii="Arial" w:eastAsia="Times New Roman" w:hAnsi="Arial" w:cs="Arial"/>
                            <w:sz w:val="20"/>
                            <w:szCs w:val="20"/>
                            <w:lang w:eastAsia="fr-FR"/>
                          </w:rPr>
                          <w:t>excitant</w:t>
                        </w:r>
                      </w:p>
                    </w:tc>
                  </w:tr>
                  <w:tr w:rsidR="00E70FA3" w:rsidRPr="00AA32C9" w:rsidTr="00CF3E89">
                    <w:trPr>
                      <w:tblCellSpacing w:w="22" w:type="dxa"/>
                      <w:jc w:val="center"/>
                    </w:trPr>
                    <w:tc>
                      <w:tcPr>
                        <w:tcW w:w="2500" w:type="pct"/>
                        <w:tcBorders>
                          <w:top w:val="outset" w:sz="6" w:space="0" w:color="auto"/>
                          <w:left w:val="outset" w:sz="6" w:space="0" w:color="auto"/>
                          <w:bottom w:val="outset" w:sz="6" w:space="0" w:color="auto"/>
                          <w:right w:val="outset" w:sz="6" w:space="0" w:color="auto"/>
                        </w:tcBorders>
                        <w:hideMark/>
                      </w:tcPr>
                      <w:p w:rsidR="00E70FA3" w:rsidRPr="00AA32C9" w:rsidRDefault="00E70FA3" w:rsidP="00CF3E8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A32C9">
                          <w:rPr>
                            <w:rFonts w:ascii="Arial" w:eastAsia="Times New Roman" w:hAnsi="Arial" w:cs="Arial"/>
                            <w:sz w:val="20"/>
                            <w:szCs w:val="20"/>
                            <w:lang w:eastAsia="fr-FR"/>
                          </w:rPr>
                          <w:t>lointain</w:t>
                        </w:r>
                      </w:p>
                    </w:tc>
                    <w:tc>
                      <w:tcPr>
                        <w:tcW w:w="2500" w:type="pct"/>
                        <w:tcBorders>
                          <w:top w:val="outset" w:sz="6" w:space="0" w:color="auto"/>
                          <w:left w:val="outset" w:sz="6" w:space="0" w:color="auto"/>
                          <w:bottom w:val="outset" w:sz="6" w:space="0" w:color="auto"/>
                          <w:right w:val="outset" w:sz="6" w:space="0" w:color="auto"/>
                        </w:tcBorders>
                        <w:hideMark/>
                      </w:tcPr>
                      <w:p w:rsidR="00E70FA3" w:rsidRPr="00AA32C9" w:rsidRDefault="00E70FA3" w:rsidP="00CF3E8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A32C9">
                          <w:rPr>
                            <w:rFonts w:ascii="Arial" w:eastAsia="Times New Roman" w:hAnsi="Arial" w:cs="Arial"/>
                            <w:sz w:val="20"/>
                            <w:szCs w:val="20"/>
                            <w:lang w:eastAsia="fr-FR"/>
                          </w:rPr>
                          <w:t>proche</w:t>
                        </w:r>
                      </w:p>
                    </w:tc>
                  </w:tr>
                  <w:tr w:rsidR="00E70FA3" w:rsidRPr="00AA32C9" w:rsidTr="00CF3E89">
                    <w:trPr>
                      <w:tblCellSpacing w:w="22" w:type="dxa"/>
                      <w:jc w:val="center"/>
                    </w:trPr>
                    <w:tc>
                      <w:tcPr>
                        <w:tcW w:w="2500" w:type="pct"/>
                        <w:tcBorders>
                          <w:top w:val="outset" w:sz="6" w:space="0" w:color="auto"/>
                          <w:left w:val="outset" w:sz="6" w:space="0" w:color="auto"/>
                          <w:bottom w:val="outset" w:sz="6" w:space="0" w:color="auto"/>
                          <w:right w:val="outset" w:sz="6" w:space="0" w:color="auto"/>
                        </w:tcBorders>
                        <w:hideMark/>
                      </w:tcPr>
                      <w:p w:rsidR="00E70FA3" w:rsidRPr="00AA32C9" w:rsidRDefault="00E70FA3" w:rsidP="00CF3E8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A32C9">
                          <w:rPr>
                            <w:rFonts w:ascii="Arial" w:eastAsia="Times New Roman" w:hAnsi="Arial" w:cs="Arial"/>
                            <w:sz w:val="20"/>
                            <w:szCs w:val="20"/>
                            <w:lang w:eastAsia="fr-FR"/>
                          </w:rPr>
                          <w:t>transparent</w:t>
                        </w:r>
                      </w:p>
                    </w:tc>
                    <w:tc>
                      <w:tcPr>
                        <w:tcW w:w="2500" w:type="pct"/>
                        <w:tcBorders>
                          <w:top w:val="outset" w:sz="6" w:space="0" w:color="auto"/>
                          <w:left w:val="outset" w:sz="6" w:space="0" w:color="auto"/>
                          <w:bottom w:val="outset" w:sz="6" w:space="0" w:color="auto"/>
                          <w:right w:val="outset" w:sz="6" w:space="0" w:color="auto"/>
                        </w:tcBorders>
                        <w:hideMark/>
                      </w:tcPr>
                      <w:p w:rsidR="00E70FA3" w:rsidRPr="00AA32C9" w:rsidRDefault="00E70FA3" w:rsidP="00CF3E8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A32C9">
                          <w:rPr>
                            <w:rFonts w:ascii="Arial" w:eastAsia="Times New Roman" w:hAnsi="Arial" w:cs="Arial"/>
                            <w:sz w:val="20"/>
                            <w:szCs w:val="20"/>
                            <w:lang w:eastAsia="fr-FR"/>
                          </w:rPr>
                          <w:t>opaque</w:t>
                        </w:r>
                      </w:p>
                    </w:tc>
                  </w:tr>
                  <w:tr w:rsidR="00E70FA3" w:rsidRPr="00AA32C9" w:rsidTr="00CF3E89">
                    <w:trPr>
                      <w:tblCellSpacing w:w="22" w:type="dxa"/>
                      <w:jc w:val="center"/>
                    </w:trPr>
                    <w:tc>
                      <w:tcPr>
                        <w:tcW w:w="2500" w:type="pct"/>
                        <w:tcBorders>
                          <w:top w:val="outset" w:sz="6" w:space="0" w:color="auto"/>
                          <w:left w:val="outset" w:sz="6" w:space="0" w:color="auto"/>
                          <w:bottom w:val="outset" w:sz="6" w:space="0" w:color="auto"/>
                          <w:right w:val="outset" w:sz="6" w:space="0" w:color="auto"/>
                        </w:tcBorders>
                        <w:hideMark/>
                      </w:tcPr>
                      <w:p w:rsidR="00E70FA3" w:rsidRPr="00AA32C9" w:rsidRDefault="00E70FA3" w:rsidP="00CF3E8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A32C9">
                          <w:rPr>
                            <w:rFonts w:ascii="Arial" w:eastAsia="Times New Roman" w:hAnsi="Arial" w:cs="Arial"/>
                            <w:sz w:val="20"/>
                            <w:szCs w:val="20"/>
                            <w:lang w:eastAsia="fr-FR"/>
                          </w:rPr>
                          <w:t>fin</w:t>
                        </w:r>
                      </w:p>
                    </w:tc>
                    <w:tc>
                      <w:tcPr>
                        <w:tcW w:w="2500" w:type="pct"/>
                        <w:tcBorders>
                          <w:top w:val="outset" w:sz="6" w:space="0" w:color="auto"/>
                          <w:left w:val="outset" w:sz="6" w:space="0" w:color="auto"/>
                          <w:bottom w:val="outset" w:sz="6" w:space="0" w:color="auto"/>
                          <w:right w:val="outset" w:sz="6" w:space="0" w:color="auto"/>
                        </w:tcBorders>
                        <w:hideMark/>
                      </w:tcPr>
                      <w:p w:rsidR="00E70FA3" w:rsidRPr="00AA32C9" w:rsidRDefault="00E70FA3" w:rsidP="00CF3E8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A32C9">
                          <w:rPr>
                            <w:rFonts w:ascii="Arial" w:eastAsia="Times New Roman" w:hAnsi="Arial" w:cs="Arial"/>
                            <w:sz w:val="20"/>
                            <w:szCs w:val="20"/>
                            <w:lang w:eastAsia="fr-FR"/>
                          </w:rPr>
                          <w:t>épais</w:t>
                        </w:r>
                      </w:p>
                    </w:tc>
                  </w:tr>
                  <w:tr w:rsidR="00E70FA3" w:rsidRPr="00AA32C9" w:rsidTr="00CF3E89">
                    <w:trPr>
                      <w:tblCellSpacing w:w="22" w:type="dxa"/>
                      <w:jc w:val="center"/>
                    </w:trPr>
                    <w:tc>
                      <w:tcPr>
                        <w:tcW w:w="2500" w:type="pct"/>
                        <w:tcBorders>
                          <w:top w:val="outset" w:sz="6" w:space="0" w:color="auto"/>
                          <w:left w:val="outset" w:sz="6" w:space="0" w:color="auto"/>
                          <w:bottom w:val="outset" w:sz="6" w:space="0" w:color="auto"/>
                          <w:right w:val="outset" w:sz="6" w:space="0" w:color="auto"/>
                        </w:tcBorders>
                        <w:hideMark/>
                      </w:tcPr>
                      <w:p w:rsidR="00E70FA3" w:rsidRPr="00AA32C9" w:rsidRDefault="00E70FA3" w:rsidP="00CF3E8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A32C9">
                          <w:rPr>
                            <w:rFonts w:ascii="Arial" w:eastAsia="Times New Roman" w:hAnsi="Arial" w:cs="Arial"/>
                            <w:sz w:val="20"/>
                            <w:szCs w:val="20"/>
                            <w:lang w:eastAsia="fr-FR"/>
                          </w:rPr>
                          <w:t>aérien</w:t>
                        </w:r>
                      </w:p>
                    </w:tc>
                    <w:tc>
                      <w:tcPr>
                        <w:tcW w:w="2500" w:type="pct"/>
                        <w:tcBorders>
                          <w:top w:val="outset" w:sz="6" w:space="0" w:color="auto"/>
                          <w:left w:val="outset" w:sz="6" w:space="0" w:color="auto"/>
                          <w:bottom w:val="outset" w:sz="6" w:space="0" w:color="auto"/>
                          <w:right w:val="outset" w:sz="6" w:space="0" w:color="auto"/>
                        </w:tcBorders>
                        <w:hideMark/>
                      </w:tcPr>
                      <w:p w:rsidR="00E70FA3" w:rsidRPr="00AA32C9" w:rsidRDefault="00E70FA3" w:rsidP="00CF3E8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A32C9">
                          <w:rPr>
                            <w:rFonts w:ascii="Arial" w:eastAsia="Times New Roman" w:hAnsi="Arial" w:cs="Arial"/>
                            <w:sz w:val="20"/>
                            <w:szCs w:val="20"/>
                            <w:lang w:eastAsia="fr-FR"/>
                          </w:rPr>
                          <w:t>terreux</w:t>
                        </w:r>
                      </w:p>
                    </w:tc>
                  </w:tr>
                  <w:tr w:rsidR="00E70FA3" w:rsidRPr="00AA32C9" w:rsidTr="00CF3E89">
                    <w:trPr>
                      <w:tblCellSpacing w:w="22" w:type="dxa"/>
                      <w:jc w:val="center"/>
                    </w:trPr>
                    <w:tc>
                      <w:tcPr>
                        <w:tcW w:w="2500" w:type="pct"/>
                        <w:tcBorders>
                          <w:top w:val="outset" w:sz="6" w:space="0" w:color="auto"/>
                          <w:left w:val="outset" w:sz="6" w:space="0" w:color="auto"/>
                          <w:bottom w:val="outset" w:sz="6" w:space="0" w:color="auto"/>
                          <w:right w:val="outset" w:sz="6" w:space="0" w:color="auto"/>
                        </w:tcBorders>
                        <w:hideMark/>
                      </w:tcPr>
                      <w:p w:rsidR="00E70FA3" w:rsidRPr="00AA32C9" w:rsidRDefault="00E70FA3" w:rsidP="00CF3E8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A32C9">
                          <w:rPr>
                            <w:rFonts w:ascii="Arial" w:eastAsia="Times New Roman" w:hAnsi="Arial" w:cs="Arial"/>
                            <w:sz w:val="20"/>
                            <w:szCs w:val="20"/>
                            <w:lang w:eastAsia="fr-FR"/>
                          </w:rPr>
                          <w:t>léger</w:t>
                        </w:r>
                      </w:p>
                    </w:tc>
                    <w:tc>
                      <w:tcPr>
                        <w:tcW w:w="2500" w:type="pct"/>
                        <w:tcBorders>
                          <w:top w:val="outset" w:sz="6" w:space="0" w:color="auto"/>
                          <w:left w:val="outset" w:sz="6" w:space="0" w:color="auto"/>
                          <w:bottom w:val="outset" w:sz="6" w:space="0" w:color="auto"/>
                          <w:right w:val="outset" w:sz="6" w:space="0" w:color="auto"/>
                        </w:tcBorders>
                        <w:hideMark/>
                      </w:tcPr>
                      <w:p w:rsidR="00E70FA3" w:rsidRPr="00AA32C9" w:rsidRDefault="00E70FA3" w:rsidP="00CF3E8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A32C9">
                          <w:rPr>
                            <w:rFonts w:ascii="Arial" w:eastAsia="Times New Roman" w:hAnsi="Arial" w:cs="Arial"/>
                            <w:sz w:val="20"/>
                            <w:szCs w:val="20"/>
                            <w:lang w:eastAsia="fr-FR"/>
                          </w:rPr>
                          <w:t>lourd</w:t>
                        </w:r>
                      </w:p>
                    </w:tc>
                  </w:tr>
                </w:tbl>
                <w:p w:rsidR="00E70FA3" w:rsidRPr="00AA32C9" w:rsidRDefault="00E70FA3" w:rsidP="00CF3E89">
                  <w:pPr>
                    <w:spacing w:after="0" w:line="240" w:lineRule="auto"/>
                    <w:jc w:val="both"/>
                    <w:rPr>
                      <w:rFonts w:ascii="Times New Roman" w:eastAsia="Times New Roman" w:hAnsi="Times New Roman" w:cs="Times New Roman"/>
                      <w:sz w:val="24"/>
                      <w:szCs w:val="24"/>
                      <w:lang w:eastAsia="fr-FR"/>
                    </w:rPr>
                  </w:pPr>
                </w:p>
                <w:p w:rsidR="00E70FA3" w:rsidRDefault="00E70FA3" w:rsidP="00CF3E89">
                  <w:pPr>
                    <w:spacing w:before="100" w:beforeAutospacing="1" w:after="100" w:afterAutospacing="1" w:line="240" w:lineRule="auto"/>
                    <w:jc w:val="both"/>
                    <w:rPr>
                      <w:rFonts w:ascii="Arial" w:eastAsia="Times New Roman" w:hAnsi="Arial" w:cs="Arial"/>
                      <w:sz w:val="20"/>
                      <w:szCs w:val="20"/>
                      <w:lang w:eastAsia="fr-FR"/>
                    </w:rPr>
                  </w:pPr>
                </w:p>
                <w:p w:rsidR="00E70FA3" w:rsidRDefault="00E70FA3" w:rsidP="00CF3E89">
                  <w:pPr>
                    <w:spacing w:before="100" w:beforeAutospacing="1" w:after="100" w:afterAutospacing="1" w:line="240" w:lineRule="auto"/>
                    <w:jc w:val="both"/>
                    <w:rPr>
                      <w:rFonts w:ascii="Arial" w:eastAsia="Times New Roman" w:hAnsi="Arial" w:cs="Arial"/>
                      <w:sz w:val="20"/>
                      <w:szCs w:val="20"/>
                      <w:lang w:eastAsia="fr-FR"/>
                    </w:rPr>
                  </w:pPr>
                </w:p>
                <w:p w:rsidR="00E70FA3" w:rsidRPr="00AA32C9" w:rsidRDefault="00E70FA3" w:rsidP="00CF3E8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A32C9">
                    <w:rPr>
                      <w:rFonts w:ascii="Arial" w:eastAsia="Times New Roman" w:hAnsi="Arial" w:cs="Arial"/>
                      <w:sz w:val="20"/>
                      <w:szCs w:val="20"/>
                      <w:lang w:eastAsia="fr-FR"/>
                    </w:rPr>
                    <w:lastRenderedPageBreak/>
                    <w:t>La proximité d’une couleur sombre exalte une couleur claire. Deux couleurs complémentaires sont en harmonie pour l’œil. L’expression naît du choix des couleurs, de leur forme, de leur grandeur et de leur</w:t>
                  </w:r>
                  <w:r>
                    <w:rPr>
                      <w:rFonts w:ascii="Arial" w:eastAsia="Times New Roman" w:hAnsi="Arial" w:cs="Arial"/>
                      <w:sz w:val="20"/>
                      <w:szCs w:val="20"/>
                      <w:lang w:eastAsia="fr-FR"/>
                    </w:rPr>
                    <w:t>s</w:t>
                  </w:r>
                  <w:r w:rsidRPr="00AA32C9">
                    <w:rPr>
                      <w:rFonts w:ascii="Arial" w:eastAsia="Times New Roman" w:hAnsi="Arial" w:cs="Arial"/>
                      <w:sz w:val="20"/>
                      <w:szCs w:val="20"/>
                      <w:lang w:eastAsia="fr-FR"/>
                    </w:rPr>
                    <w:t xml:space="preserve"> positions relatives. Elle naît aussi des contrastes plus ou moins grands entre des tons, des saturations, des clartés des grandeurs de surfaces, etc. La maîtrise de cette notion nécessite des années d’observation, de réflexion et d’expérience. Pour le décorateur, l’architecte, et styliste et surtout le peintre, c’est LA difficulté et en même temps la réussite de l’œuvre d’art.</w:t>
                  </w:r>
                </w:p>
                <w:p w:rsidR="00E70FA3" w:rsidRPr="00AA32C9" w:rsidRDefault="00E70FA3" w:rsidP="00CF3E8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A32C9">
                    <w:rPr>
                      <w:rFonts w:ascii="Arial" w:eastAsia="Times New Roman" w:hAnsi="Arial" w:cs="Arial"/>
                      <w:sz w:val="20"/>
                      <w:szCs w:val="20"/>
                      <w:lang w:eastAsia="fr-FR"/>
                    </w:rPr>
                    <w:t>Les couleurs occupent une place exceptionnelle dans la symbolique traditionnelle depuis le début de l’humanité. Elles eurent la même signification chez tous les peuples de la haute antiquité. Leur langage, intimement lié à la religion, passe dans l’Inde, en Chine, en Egypte, en Grèce, à Rome... reparaît dans le Moyen Âge, et les vitraux des cathédrales gothiques trouvent leur explication dans les livres zends, les Vedas, et les peinture des temples égyptiens... Elles ont joué une fonction cosmique et ont représenté des divinités dans diverses cosmogonies</w:t>
                  </w:r>
                  <w:r w:rsidRPr="00AA32C9">
                    <w:rPr>
                      <w:rFonts w:ascii="Arial" w:eastAsia="Times New Roman" w:hAnsi="Arial" w:cs="Arial"/>
                      <w:b/>
                      <w:bCs/>
                      <w:sz w:val="20"/>
                      <w:szCs w:val="20"/>
                      <w:lang w:eastAsia="fr-FR"/>
                    </w:rPr>
                    <w:t xml:space="preserve"> </w:t>
                  </w:r>
                  <w:r w:rsidRPr="00AA32C9">
                    <w:rPr>
                      <w:rFonts w:ascii="Arial" w:eastAsia="Times New Roman" w:hAnsi="Arial" w:cs="Arial"/>
                      <w:sz w:val="20"/>
                      <w:szCs w:val="20"/>
                      <w:lang w:eastAsia="fr-FR"/>
                    </w:rPr>
                    <w:t>: chez les Amérindiens (Mayas, Aztèques, Incas...), le rouge est associé à l’Est, pays du soleil ; le bleu ou le blanc au Nord (pays du froid) ; le Noir à l’Ouest (pays de l’ombre) ; le jaune ou le blanc au Sud...</w:t>
                  </w:r>
                </w:p>
                <w:p w:rsidR="00E70FA3" w:rsidRPr="00AA32C9" w:rsidRDefault="00E70FA3" w:rsidP="00CF3E8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A32C9">
                    <w:rPr>
                      <w:rFonts w:ascii="Arial" w:eastAsia="Times New Roman" w:hAnsi="Arial" w:cs="Arial"/>
                      <w:sz w:val="20"/>
                      <w:szCs w:val="20"/>
                      <w:lang w:eastAsia="fr-FR"/>
                    </w:rPr>
                    <w:t>Les Japonais reconnaissent aux couleurs "</w:t>
                  </w:r>
                  <w:r w:rsidRPr="00AA32C9">
                    <w:rPr>
                      <w:rFonts w:ascii="Arial" w:eastAsia="Times New Roman" w:hAnsi="Arial" w:cs="Arial"/>
                      <w:i/>
                      <w:iCs/>
                      <w:sz w:val="20"/>
                      <w:szCs w:val="20"/>
                      <w:lang w:eastAsia="fr-FR"/>
                    </w:rPr>
                    <w:t>des significations particulièrement délicates dépassant ce que l’homme est capable de décrire</w:t>
                  </w:r>
                  <w:r w:rsidRPr="00AA32C9">
                    <w:rPr>
                      <w:rFonts w:ascii="Arial" w:eastAsia="Times New Roman" w:hAnsi="Arial" w:cs="Arial"/>
                      <w:sz w:val="20"/>
                      <w:szCs w:val="20"/>
                      <w:lang w:eastAsia="fr-FR"/>
                    </w:rPr>
                    <w:t>". Les écoles shintoïstes enseignent à leurs initiés les correspondances suivantes :</w:t>
                  </w:r>
                </w:p>
                <w:tbl>
                  <w:tblPr>
                    <w:tblW w:w="4500" w:type="pct"/>
                    <w:jc w:val="center"/>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3096"/>
                    <w:gridCol w:w="5022"/>
                  </w:tblGrid>
                  <w:tr w:rsidR="00E70FA3" w:rsidRPr="00AA32C9" w:rsidTr="00CF3E89">
                    <w:trPr>
                      <w:tblCellSpacing w:w="15" w:type="dxa"/>
                      <w:jc w:val="center"/>
                    </w:trPr>
                    <w:tc>
                      <w:tcPr>
                        <w:tcW w:w="1900" w:type="pct"/>
                        <w:tcBorders>
                          <w:top w:val="outset" w:sz="6" w:space="0" w:color="auto"/>
                          <w:left w:val="outset" w:sz="6" w:space="0" w:color="auto"/>
                          <w:bottom w:val="outset" w:sz="6" w:space="0" w:color="auto"/>
                          <w:right w:val="outset" w:sz="6" w:space="0" w:color="auto"/>
                        </w:tcBorders>
                        <w:hideMark/>
                      </w:tcPr>
                      <w:p w:rsidR="00E70FA3" w:rsidRPr="00AA32C9" w:rsidRDefault="00E70FA3" w:rsidP="00CF3E8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A32C9">
                          <w:rPr>
                            <w:rFonts w:ascii="Arial" w:eastAsia="Times New Roman" w:hAnsi="Arial" w:cs="Arial"/>
                            <w:sz w:val="20"/>
                            <w:szCs w:val="20"/>
                            <w:lang w:eastAsia="fr-FR"/>
                          </w:rPr>
                          <w:t>Noir et Violet</w:t>
                        </w:r>
                      </w:p>
                    </w:tc>
                    <w:tc>
                      <w:tcPr>
                        <w:tcW w:w="3100" w:type="pct"/>
                        <w:tcBorders>
                          <w:top w:val="outset" w:sz="6" w:space="0" w:color="auto"/>
                          <w:left w:val="outset" w:sz="6" w:space="0" w:color="auto"/>
                          <w:bottom w:val="outset" w:sz="6" w:space="0" w:color="auto"/>
                          <w:right w:val="outset" w:sz="6" w:space="0" w:color="auto"/>
                        </w:tcBorders>
                        <w:hideMark/>
                      </w:tcPr>
                      <w:p w:rsidR="00E70FA3" w:rsidRPr="00AA32C9" w:rsidRDefault="00E70FA3" w:rsidP="00CF3E8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A32C9">
                          <w:rPr>
                            <w:rFonts w:ascii="Arial" w:eastAsia="Times New Roman" w:hAnsi="Arial" w:cs="Arial"/>
                            <w:sz w:val="20"/>
                            <w:szCs w:val="20"/>
                            <w:lang w:eastAsia="fr-FR"/>
                          </w:rPr>
                          <w:t>Nord - Primitif, origine, paradis.</w:t>
                        </w:r>
                      </w:p>
                    </w:tc>
                  </w:tr>
                  <w:tr w:rsidR="00E70FA3" w:rsidRPr="00AA32C9" w:rsidTr="00CF3E89">
                    <w:trPr>
                      <w:tblCellSpacing w:w="15" w:type="dxa"/>
                      <w:jc w:val="center"/>
                    </w:trPr>
                    <w:tc>
                      <w:tcPr>
                        <w:tcW w:w="1900" w:type="pct"/>
                        <w:tcBorders>
                          <w:top w:val="outset" w:sz="6" w:space="0" w:color="auto"/>
                          <w:left w:val="outset" w:sz="6" w:space="0" w:color="auto"/>
                          <w:bottom w:val="outset" w:sz="6" w:space="0" w:color="auto"/>
                          <w:right w:val="outset" w:sz="6" w:space="0" w:color="auto"/>
                        </w:tcBorders>
                        <w:hideMark/>
                      </w:tcPr>
                      <w:p w:rsidR="00E70FA3" w:rsidRPr="00AA32C9" w:rsidRDefault="00E70FA3" w:rsidP="00CF3E8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A32C9">
                          <w:rPr>
                            <w:rFonts w:ascii="Arial" w:eastAsia="Times New Roman" w:hAnsi="Arial" w:cs="Arial"/>
                            <w:sz w:val="20"/>
                            <w:szCs w:val="20"/>
                            <w:lang w:eastAsia="fr-FR"/>
                          </w:rPr>
                          <w:t>Bleu ou Vert</w:t>
                        </w:r>
                      </w:p>
                    </w:tc>
                    <w:tc>
                      <w:tcPr>
                        <w:tcW w:w="3100" w:type="pct"/>
                        <w:tcBorders>
                          <w:top w:val="outset" w:sz="6" w:space="0" w:color="auto"/>
                          <w:left w:val="outset" w:sz="6" w:space="0" w:color="auto"/>
                          <w:bottom w:val="outset" w:sz="6" w:space="0" w:color="auto"/>
                          <w:right w:val="outset" w:sz="6" w:space="0" w:color="auto"/>
                        </w:tcBorders>
                        <w:hideMark/>
                      </w:tcPr>
                      <w:p w:rsidR="00E70FA3" w:rsidRPr="00AA32C9" w:rsidRDefault="00E70FA3" w:rsidP="00CF3E8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A32C9">
                          <w:rPr>
                            <w:rFonts w:ascii="Arial" w:eastAsia="Times New Roman" w:hAnsi="Arial" w:cs="Arial"/>
                            <w:sz w:val="20"/>
                            <w:szCs w:val="20"/>
                            <w:lang w:eastAsia="fr-FR"/>
                          </w:rPr>
                          <w:t>Est - Vie, création.</w:t>
                        </w:r>
                      </w:p>
                    </w:tc>
                  </w:tr>
                  <w:tr w:rsidR="00E70FA3" w:rsidRPr="00AA32C9" w:rsidTr="00CF3E89">
                    <w:trPr>
                      <w:tblCellSpacing w:w="15" w:type="dxa"/>
                      <w:jc w:val="center"/>
                    </w:trPr>
                    <w:tc>
                      <w:tcPr>
                        <w:tcW w:w="1900" w:type="pct"/>
                        <w:tcBorders>
                          <w:top w:val="outset" w:sz="6" w:space="0" w:color="auto"/>
                          <w:left w:val="outset" w:sz="6" w:space="0" w:color="auto"/>
                          <w:bottom w:val="outset" w:sz="6" w:space="0" w:color="auto"/>
                          <w:right w:val="outset" w:sz="6" w:space="0" w:color="auto"/>
                        </w:tcBorders>
                        <w:hideMark/>
                      </w:tcPr>
                      <w:p w:rsidR="00E70FA3" w:rsidRPr="00AA32C9" w:rsidRDefault="00E70FA3" w:rsidP="00CF3E8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A32C9">
                          <w:rPr>
                            <w:rFonts w:ascii="Arial" w:eastAsia="Times New Roman" w:hAnsi="Arial" w:cs="Arial"/>
                            <w:sz w:val="20"/>
                            <w:szCs w:val="20"/>
                            <w:lang w:eastAsia="fr-FR"/>
                          </w:rPr>
                          <w:t>Rouge</w:t>
                        </w:r>
                      </w:p>
                    </w:tc>
                    <w:tc>
                      <w:tcPr>
                        <w:tcW w:w="3100" w:type="pct"/>
                        <w:tcBorders>
                          <w:top w:val="outset" w:sz="6" w:space="0" w:color="auto"/>
                          <w:left w:val="outset" w:sz="6" w:space="0" w:color="auto"/>
                          <w:bottom w:val="outset" w:sz="6" w:space="0" w:color="auto"/>
                          <w:right w:val="outset" w:sz="6" w:space="0" w:color="auto"/>
                        </w:tcBorders>
                        <w:hideMark/>
                      </w:tcPr>
                      <w:p w:rsidR="00E70FA3" w:rsidRPr="00AA32C9" w:rsidRDefault="00E70FA3" w:rsidP="00CF3E8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A32C9">
                          <w:rPr>
                            <w:rFonts w:ascii="Arial" w:eastAsia="Times New Roman" w:hAnsi="Arial" w:cs="Arial"/>
                            <w:sz w:val="20"/>
                            <w:szCs w:val="20"/>
                            <w:lang w:eastAsia="fr-FR"/>
                          </w:rPr>
                          <w:t>Sud - Harmonie et expansion.</w:t>
                        </w:r>
                      </w:p>
                    </w:tc>
                  </w:tr>
                  <w:tr w:rsidR="00E70FA3" w:rsidRPr="00AA32C9" w:rsidTr="00CF3E89">
                    <w:trPr>
                      <w:tblCellSpacing w:w="15" w:type="dxa"/>
                      <w:jc w:val="center"/>
                    </w:trPr>
                    <w:tc>
                      <w:tcPr>
                        <w:tcW w:w="1900" w:type="pct"/>
                        <w:tcBorders>
                          <w:top w:val="outset" w:sz="6" w:space="0" w:color="auto"/>
                          <w:left w:val="outset" w:sz="6" w:space="0" w:color="auto"/>
                          <w:bottom w:val="outset" w:sz="6" w:space="0" w:color="auto"/>
                          <w:right w:val="outset" w:sz="6" w:space="0" w:color="auto"/>
                        </w:tcBorders>
                        <w:hideMark/>
                      </w:tcPr>
                      <w:p w:rsidR="00E70FA3" w:rsidRPr="00AA32C9" w:rsidRDefault="00E70FA3" w:rsidP="00CF3E8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A32C9">
                          <w:rPr>
                            <w:rFonts w:ascii="Arial" w:eastAsia="Times New Roman" w:hAnsi="Arial" w:cs="Arial"/>
                            <w:sz w:val="20"/>
                            <w:szCs w:val="20"/>
                            <w:lang w:eastAsia="fr-FR"/>
                          </w:rPr>
                          <w:t>Blanc</w:t>
                        </w:r>
                      </w:p>
                    </w:tc>
                    <w:tc>
                      <w:tcPr>
                        <w:tcW w:w="3100" w:type="pct"/>
                        <w:tcBorders>
                          <w:top w:val="outset" w:sz="6" w:space="0" w:color="auto"/>
                          <w:left w:val="outset" w:sz="6" w:space="0" w:color="auto"/>
                          <w:bottom w:val="outset" w:sz="6" w:space="0" w:color="auto"/>
                          <w:right w:val="outset" w:sz="6" w:space="0" w:color="auto"/>
                        </w:tcBorders>
                        <w:hideMark/>
                      </w:tcPr>
                      <w:p w:rsidR="00E70FA3" w:rsidRPr="00AA32C9" w:rsidRDefault="00E70FA3" w:rsidP="00CF3E8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A32C9">
                          <w:rPr>
                            <w:rFonts w:ascii="Arial" w:eastAsia="Times New Roman" w:hAnsi="Arial" w:cs="Arial"/>
                            <w:sz w:val="20"/>
                            <w:szCs w:val="20"/>
                            <w:lang w:eastAsia="fr-FR"/>
                          </w:rPr>
                          <w:t>Ouest - Intégration et propulsion.</w:t>
                        </w:r>
                      </w:p>
                    </w:tc>
                  </w:tr>
                  <w:tr w:rsidR="00E70FA3" w:rsidRPr="00AA32C9" w:rsidTr="00CF3E89">
                    <w:trPr>
                      <w:tblCellSpacing w:w="15" w:type="dxa"/>
                      <w:jc w:val="center"/>
                    </w:trPr>
                    <w:tc>
                      <w:tcPr>
                        <w:tcW w:w="1900" w:type="pct"/>
                        <w:tcBorders>
                          <w:top w:val="outset" w:sz="6" w:space="0" w:color="auto"/>
                          <w:left w:val="outset" w:sz="6" w:space="0" w:color="auto"/>
                          <w:bottom w:val="outset" w:sz="6" w:space="0" w:color="auto"/>
                          <w:right w:val="outset" w:sz="6" w:space="0" w:color="auto"/>
                        </w:tcBorders>
                        <w:hideMark/>
                      </w:tcPr>
                      <w:p w:rsidR="00E70FA3" w:rsidRPr="00AA32C9" w:rsidRDefault="00E70FA3" w:rsidP="00CF3E8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A32C9">
                          <w:rPr>
                            <w:rFonts w:ascii="Arial" w:eastAsia="Times New Roman" w:hAnsi="Arial" w:cs="Arial"/>
                            <w:sz w:val="20"/>
                            <w:szCs w:val="20"/>
                            <w:lang w:eastAsia="fr-FR"/>
                          </w:rPr>
                          <w:t>Jaune</w:t>
                        </w:r>
                      </w:p>
                    </w:tc>
                    <w:tc>
                      <w:tcPr>
                        <w:tcW w:w="3100" w:type="pct"/>
                        <w:tcBorders>
                          <w:top w:val="outset" w:sz="6" w:space="0" w:color="auto"/>
                          <w:left w:val="outset" w:sz="6" w:space="0" w:color="auto"/>
                          <w:bottom w:val="outset" w:sz="6" w:space="0" w:color="auto"/>
                          <w:right w:val="outset" w:sz="6" w:space="0" w:color="auto"/>
                        </w:tcBorders>
                        <w:hideMark/>
                      </w:tcPr>
                      <w:p w:rsidR="00E70FA3" w:rsidRPr="00AA32C9" w:rsidRDefault="00E70FA3" w:rsidP="00CF3E8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A32C9">
                          <w:rPr>
                            <w:rFonts w:ascii="Arial" w:eastAsia="Times New Roman" w:hAnsi="Arial" w:cs="Arial"/>
                            <w:sz w:val="20"/>
                            <w:szCs w:val="20"/>
                            <w:lang w:eastAsia="fr-FR"/>
                          </w:rPr>
                          <w:t>Centre - Créateur, unité</w:t>
                        </w:r>
                      </w:p>
                    </w:tc>
                  </w:tr>
                </w:tbl>
                <w:p w:rsidR="00E70FA3" w:rsidRPr="00AA32C9" w:rsidRDefault="00E70FA3" w:rsidP="00CF3E89">
                  <w:pPr>
                    <w:spacing w:after="0" w:line="240" w:lineRule="auto"/>
                    <w:jc w:val="both"/>
                    <w:rPr>
                      <w:rFonts w:ascii="Times New Roman" w:eastAsia="Times New Roman" w:hAnsi="Times New Roman" w:cs="Times New Roman"/>
                      <w:sz w:val="24"/>
                      <w:szCs w:val="24"/>
                      <w:lang w:eastAsia="fr-FR"/>
                    </w:rPr>
                  </w:pPr>
                </w:p>
                <w:p w:rsidR="00E70FA3" w:rsidRPr="00AA32C9" w:rsidRDefault="00E70FA3" w:rsidP="00CF3E8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A32C9">
                    <w:rPr>
                      <w:rFonts w:ascii="Arial" w:eastAsia="Times New Roman" w:hAnsi="Arial" w:cs="Arial"/>
                      <w:sz w:val="20"/>
                      <w:szCs w:val="20"/>
                      <w:lang w:eastAsia="fr-FR"/>
                    </w:rPr>
                    <w:t>Cette série de cinq couleurs domine le rituel</w:t>
                  </w:r>
                  <w:r w:rsidRPr="00AA32C9">
                    <w:rPr>
                      <w:rFonts w:ascii="Arial" w:eastAsia="Times New Roman" w:hAnsi="Arial" w:cs="Arial"/>
                      <w:b/>
                      <w:bCs/>
                      <w:sz w:val="20"/>
                      <w:szCs w:val="20"/>
                      <w:lang w:eastAsia="fr-FR"/>
                    </w:rPr>
                    <w:t xml:space="preserve"> </w:t>
                  </w:r>
                  <w:r w:rsidRPr="00AA32C9">
                    <w:rPr>
                      <w:rFonts w:ascii="Arial" w:eastAsia="Times New Roman" w:hAnsi="Arial" w:cs="Arial"/>
                      <w:sz w:val="20"/>
                      <w:szCs w:val="20"/>
                      <w:lang w:eastAsia="fr-FR"/>
                    </w:rPr>
                    <w:t>: lorsque l’Empereur fait à un dieu un don d’étoffes, il doit y en avoir au moins une pièce de chaque couleur ; les bannières sont composées de bandes de cinq couleurs ; les bandelettes de cinq couleurs pendent aux grelots portés par les danseurs lors de certaines danses sacrées...</w:t>
                  </w:r>
                </w:p>
                <w:p w:rsidR="00E70FA3" w:rsidRPr="00AA32C9" w:rsidRDefault="00E70FA3" w:rsidP="00CF3E8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A32C9">
                    <w:rPr>
                      <w:rFonts w:ascii="Arial" w:eastAsia="Times New Roman" w:hAnsi="Arial" w:cs="Arial"/>
                      <w:sz w:val="20"/>
                      <w:szCs w:val="20"/>
                      <w:lang w:eastAsia="fr-FR"/>
                    </w:rPr>
                    <w:t>Dans les lignes qui suivent, nous allons évoquer les couleurs suivantes : Blanc, Rouge, Jaune, Orangé, Vert, Bleu, Violet, Rose, Noir, Gris, Brun.</w:t>
                  </w:r>
                </w:p>
                <w:tbl>
                  <w:tblPr>
                    <w:tblW w:w="0" w:type="auto"/>
                    <w:tblCellSpacing w:w="7" w:type="dxa"/>
                    <w:tblCellMar>
                      <w:left w:w="0" w:type="dxa"/>
                      <w:right w:w="0" w:type="dxa"/>
                    </w:tblCellMar>
                    <w:tblLook w:val="04A0"/>
                  </w:tblPr>
                  <w:tblGrid>
                    <w:gridCol w:w="9036"/>
                  </w:tblGrid>
                  <w:tr w:rsidR="00E70FA3" w:rsidRPr="00AA32C9" w:rsidTr="00CF3E89">
                    <w:trPr>
                      <w:trHeight w:val="3543"/>
                      <w:tblCellSpacing w:w="7" w:type="dxa"/>
                    </w:trPr>
                    <w:tc>
                      <w:tcPr>
                        <w:tcW w:w="0" w:type="auto"/>
                        <w:shd w:val="clear" w:color="auto" w:fill="auto"/>
                        <w:vAlign w:val="center"/>
                        <w:hideMark/>
                      </w:tcPr>
                      <w:p w:rsidR="00E70FA3" w:rsidRPr="008C2AB1" w:rsidRDefault="00E70FA3" w:rsidP="00CF3E89">
                        <w:pPr>
                          <w:spacing w:before="100" w:beforeAutospacing="1" w:after="100" w:afterAutospacing="1" w:line="240" w:lineRule="auto"/>
                          <w:jc w:val="both"/>
                          <w:rPr>
                            <w:rFonts w:ascii="Times New Roman" w:eastAsia="Times New Roman" w:hAnsi="Times New Roman" w:cs="Times New Roman"/>
                            <w:sz w:val="28"/>
                            <w:szCs w:val="28"/>
                            <w:lang w:eastAsia="fr-FR"/>
                          </w:rPr>
                        </w:pPr>
                        <w:r w:rsidRPr="008C2AB1">
                          <w:rPr>
                            <w:rFonts w:ascii="Arial" w:eastAsia="Times New Roman" w:hAnsi="Arial" w:cs="Arial"/>
                            <w:b/>
                            <w:bCs/>
                            <w:sz w:val="28"/>
                            <w:szCs w:val="28"/>
                            <w:u w:val="single"/>
                            <w:lang w:eastAsia="fr-FR"/>
                          </w:rPr>
                          <w:t>Blanc</w:t>
                        </w:r>
                      </w:p>
                      <w:p w:rsidR="00E70FA3" w:rsidRPr="00AA32C9" w:rsidRDefault="00E70FA3" w:rsidP="00CF3E8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A32C9">
                          <w:rPr>
                            <w:rFonts w:ascii="Arial" w:eastAsia="Times New Roman" w:hAnsi="Arial" w:cs="Arial"/>
                            <w:sz w:val="20"/>
                            <w:szCs w:val="20"/>
                            <w:lang w:eastAsia="fr-FR"/>
                          </w:rPr>
                          <w:t xml:space="preserve">Synthèse de toutes les couleurs, le blanc est la </w:t>
                        </w:r>
                        <w:r w:rsidRPr="00AA32C9">
                          <w:rPr>
                            <w:rFonts w:ascii="Arial" w:eastAsia="Times New Roman" w:hAnsi="Arial" w:cs="Arial"/>
                            <w:b/>
                            <w:bCs/>
                            <w:sz w:val="20"/>
                            <w:szCs w:val="20"/>
                            <w:lang w:eastAsia="fr-FR"/>
                          </w:rPr>
                          <w:t>lumière</w:t>
                        </w:r>
                        <w:r w:rsidRPr="00AA32C9">
                          <w:rPr>
                            <w:rFonts w:ascii="Arial" w:eastAsia="Times New Roman" w:hAnsi="Arial" w:cs="Arial"/>
                            <w:sz w:val="20"/>
                            <w:szCs w:val="20"/>
                            <w:lang w:eastAsia="fr-FR"/>
                          </w:rPr>
                          <w:t>, et les anciens en avaient fait la couleur de la divinité</w:t>
                        </w:r>
                        <w:r w:rsidRPr="00AA32C9">
                          <w:rPr>
                            <w:rFonts w:ascii="Arial" w:eastAsia="Times New Roman" w:hAnsi="Arial" w:cs="Arial"/>
                            <w:b/>
                            <w:bCs/>
                            <w:sz w:val="20"/>
                            <w:szCs w:val="20"/>
                            <w:lang w:eastAsia="fr-FR"/>
                          </w:rPr>
                          <w:t xml:space="preserve"> </w:t>
                        </w:r>
                        <w:r w:rsidRPr="00AA32C9">
                          <w:rPr>
                            <w:rFonts w:ascii="Arial" w:eastAsia="Times New Roman" w:hAnsi="Arial" w:cs="Arial"/>
                            <w:sz w:val="20"/>
                            <w:szCs w:val="20"/>
                            <w:lang w:eastAsia="fr-FR"/>
                          </w:rPr>
                          <w:t>: les Egyptiens enveloppaient les défunts dans un linceul blanc pour montrer que la mort délivre l’âme pure de son enveloppe charnelle périssable. Chez les Hébreux, la tunique de lin blanc représentait la pureté du Sacrificateur et la justice divine. A Rome, le blanc était la couleur des vestales (prêtresses qui étaient brûlées vivez lorsqu’elles manquaient à leur voeux de chasteté...). C’était aussi le couleur des druides, des initiés...</w:t>
                        </w:r>
                      </w:p>
                      <w:p w:rsidR="00E70FA3" w:rsidRPr="00AA32C9" w:rsidRDefault="00E70FA3" w:rsidP="00CF3E8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A32C9">
                          <w:rPr>
                            <w:rFonts w:ascii="Arial" w:eastAsia="Times New Roman" w:hAnsi="Arial" w:cs="Arial"/>
                            <w:sz w:val="20"/>
                            <w:szCs w:val="20"/>
                            <w:lang w:eastAsia="fr-FR"/>
                          </w:rPr>
                          <w:t xml:space="preserve">Participent de la symbolique du blanc et emblèmes de </w:t>
                        </w:r>
                        <w:r w:rsidRPr="00AA32C9">
                          <w:rPr>
                            <w:rFonts w:ascii="Arial" w:eastAsia="Times New Roman" w:hAnsi="Arial" w:cs="Arial"/>
                            <w:b/>
                            <w:bCs/>
                            <w:sz w:val="20"/>
                            <w:szCs w:val="20"/>
                            <w:lang w:eastAsia="fr-FR"/>
                          </w:rPr>
                          <w:t>pureté</w:t>
                        </w:r>
                        <w:r w:rsidRPr="00AA32C9">
                          <w:rPr>
                            <w:rFonts w:ascii="Arial" w:eastAsia="Times New Roman" w:hAnsi="Arial" w:cs="Arial"/>
                            <w:sz w:val="20"/>
                            <w:szCs w:val="20"/>
                            <w:lang w:eastAsia="fr-FR"/>
                          </w:rPr>
                          <w:t xml:space="preserve">, </w:t>
                        </w:r>
                        <w:r w:rsidRPr="00AA32C9">
                          <w:rPr>
                            <w:rFonts w:ascii="Arial" w:eastAsia="Times New Roman" w:hAnsi="Arial" w:cs="Arial"/>
                            <w:b/>
                            <w:bCs/>
                            <w:sz w:val="20"/>
                            <w:szCs w:val="20"/>
                            <w:lang w:eastAsia="fr-FR"/>
                          </w:rPr>
                          <w:t>vertu</w:t>
                        </w:r>
                        <w:r w:rsidRPr="00AA32C9">
                          <w:rPr>
                            <w:rFonts w:ascii="Arial" w:eastAsia="Times New Roman" w:hAnsi="Arial" w:cs="Arial"/>
                            <w:sz w:val="20"/>
                            <w:szCs w:val="20"/>
                            <w:lang w:eastAsia="fr-FR"/>
                          </w:rPr>
                          <w:t xml:space="preserve"> et </w:t>
                        </w:r>
                        <w:r w:rsidRPr="00AA32C9">
                          <w:rPr>
                            <w:rFonts w:ascii="Arial" w:eastAsia="Times New Roman" w:hAnsi="Arial" w:cs="Arial"/>
                            <w:b/>
                            <w:bCs/>
                            <w:sz w:val="20"/>
                            <w:szCs w:val="20"/>
                            <w:lang w:eastAsia="fr-FR"/>
                          </w:rPr>
                          <w:t xml:space="preserve">chasteté </w:t>
                        </w:r>
                        <w:r w:rsidRPr="00AA32C9">
                          <w:rPr>
                            <w:rFonts w:ascii="Arial" w:eastAsia="Times New Roman" w:hAnsi="Arial" w:cs="Arial"/>
                            <w:sz w:val="20"/>
                            <w:szCs w:val="20"/>
                            <w:lang w:eastAsia="fr-FR"/>
                          </w:rPr>
                          <w:t xml:space="preserve">: la robe blanche de la communiante et de la mariée, le bouquet de fleur d’oranger, le lis, la colombe, le lin, l’ivoire, le diamant, la neige... Par extension, c’est aussi parfois la couleur du </w:t>
                        </w:r>
                        <w:r w:rsidRPr="00AA32C9">
                          <w:rPr>
                            <w:rFonts w:ascii="Arial" w:eastAsia="Times New Roman" w:hAnsi="Arial" w:cs="Arial"/>
                            <w:b/>
                            <w:bCs/>
                            <w:sz w:val="20"/>
                            <w:szCs w:val="20"/>
                            <w:lang w:eastAsia="fr-FR"/>
                          </w:rPr>
                          <w:t>deuil</w:t>
                        </w:r>
                        <w:r w:rsidRPr="00AA32C9">
                          <w:rPr>
                            <w:rFonts w:ascii="Arial" w:eastAsia="Times New Roman" w:hAnsi="Arial" w:cs="Arial"/>
                            <w:sz w:val="20"/>
                            <w:szCs w:val="20"/>
                            <w:lang w:eastAsia="fr-FR"/>
                          </w:rPr>
                          <w:t xml:space="preserve"> d’un enfant, d’un être pur... Sous son aspect maléfique</w:t>
                        </w:r>
                        <w:r w:rsidRPr="00AA32C9">
                          <w:rPr>
                            <w:rFonts w:ascii="Arial" w:eastAsia="Times New Roman" w:hAnsi="Arial" w:cs="Arial"/>
                            <w:b/>
                            <w:bCs/>
                            <w:sz w:val="20"/>
                            <w:szCs w:val="20"/>
                            <w:lang w:eastAsia="fr-FR"/>
                          </w:rPr>
                          <w:t xml:space="preserve"> </w:t>
                        </w:r>
                        <w:r w:rsidRPr="00AA32C9">
                          <w:rPr>
                            <w:rFonts w:ascii="Arial" w:eastAsia="Times New Roman" w:hAnsi="Arial" w:cs="Arial"/>
                            <w:sz w:val="20"/>
                            <w:szCs w:val="20"/>
                            <w:lang w:eastAsia="fr-FR"/>
                          </w:rPr>
                          <w:t>: la lune (le blanc lunaire est celui de la lividité cadavérique et du linceul)</w:t>
                        </w:r>
                      </w:p>
                      <w:p w:rsidR="00E70FA3" w:rsidRDefault="00E70FA3" w:rsidP="00CF3E89">
                        <w:pPr>
                          <w:spacing w:before="100" w:beforeAutospacing="1" w:after="100" w:afterAutospacing="1" w:line="240" w:lineRule="auto"/>
                          <w:jc w:val="both"/>
                          <w:rPr>
                            <w:rFonts w:ascii="Times New Roman" w:eastAsia="Times New Roman" w:hAnsi="Times New Roman" w:cs="Times New Roman"/>
                            <w:sz w:val="24"/>
                            <w:szCs w:val="24"/>
                            <w:lang w:eastAsia="fr-FR"/>
                          </w:rPr>
                        </w:pPr>
                      </w:p>
                      <w:p w:rsidR="00E70FA3" w:rsidRPr="00AA32C9" w:rsidRDefault="00E70FA3" w:rsidP="00CF3E89">
                        <w:pPr>
                          <w:spacing w:before="100" w:beforeAutospacing="1" w:after="100" w:afterAutospacing="1" w:line="240" w:lineRule="auto"/>
                          <w:jc w:val="both"/>
                          <w:rPr>
                            <w:rFonts w:ascii="Times New Roman" w:eastAsia="Times New Roman" w:hAnsi="Times New Roman" w:cs="Times New Roman"/>
                            <w:sz w:val="24"/>
                            <w:szCs w:val="24"/>
                            <w:lang w:eastAsia="fr-FR"/>
                          </w:rPr>
                        </w:pPr>
                      </w:p>
                    </w:tc>
                  </w:tr>
                </w:tbl>
                <w:p w:rsidR="00E70FA3" w:rsidRPr="00AA32C9" w:rsidRDefault="00E70FA3" w:rsidP="00CF3E89">
                  <w:pPr>
                    <w:spacing w:after="0" w:line="240" w:lineRule="auto"/>
                    <w:jc w:val="both"/>
                    <w:rPr>
                      <w:rFonts w:ascii="Times New Roman" w:eastAsia="Times New Roman" w:hAnsi="Times New Roman" w:cs="Times New Roman"/>
                      <w:vanish/>
                      <w:sz w:val="24"/>
                      <w:szCs w:val="24"/>
                      <w:lang w:eastAsia="fr-FR"/>
                    </w:rPr>
                  </w:pPr>
                </w:p>
                <w:tbl>
                  <w:tblPr>
                    <w:tblW w:w="0" w:type="auto"/>
                    <w:tblCellSpacing w:w="7" w:type="dxa"/>
                    <w:tblCellMar>
                      <w:left w:w="0" w:type="dxa"/>
                      <w:right w:w="0" w:type="dxa"/>
                    </w:tblCellMar>
                    <w:tblLook w:val="04A0"/>
                  </w:tblPr>
                  <w:tblGrid>
                    <w:gridCol w:w="9036"/>
                  </w:tblGrid>
                  <w:tr w:rsidR="00E70FA3" w:rsidRPr="00AA32C9" w:rsidTr="00CF3E89">
                    <w:trPr>
                      <w:tblCellSpacing w:w="7" w:type="dxa"/>
                    </w:trPr>
                    <w:tc>
                      <w:tcPr>
                        <w:tcW w:w="0" w:type="auto"/>
                        <w:vAlign w:val="center"/>
                        <w:hideMark/>
                      </w:tcPr>
                      <w:p w:rsidR="00E70FA3" w:rsidRPr="008C2AB1" w:rsidRDefault="00E70FA3" w:rsidP="00CF3E89">
                        <w:pPr>
                          <w:spacing w:before="100" w:beforeAutospacing="1" w:after="100" w:afterAutospacing="1" w:line="240" w:lineRule="auto"/>
                          <w:jc w:val="both"/>
                          <w:rPr>
                            <w:rFonts w:ascii="Times New Roman" w:eastAsia="Times New Roman" w:hAnsi="Times New Roman" w:cs="Times New Roman"/>
                            <w:color w:val="FF0000"/>
                            <w:sz w:val="28"/>
                            <w:szCs w:val="28"/>
                            <w:lang w:eastAsia="fr-FR"/>
                          </w:rPr>
                        </w:pPr>
                        <w:r w:rsidRPr="008C2AB1">
                          <w:rPr>
                            <w:rFonts w:ascii="Arial" w:eastAsia="Times New Roman" w:hAnsi="Arial" w:cs="Arial"/>
                            <w:b/>
                            <w:bCs/>
                            <w:color w:val="FF0000"/>
                            <w:sz w:val="28"/>
                            <w:szCs w:val="28"/>
                            <w:u w:val="single"/>
                            <w:lang w:eastAsia="fr-FR"/>
                          </w:rPr>
                          <w:lastRenderedPageBreak/>
                          <w:t>R</w:t>
                        </w:r>
                        <w:bookmarkStart w:id="0" w:name="rouge"/>
                        <w:r w:rsidRPr="008C2AB1">
                          <w:rPr>
                            <w:rFonts w:ascii="Arial" w:eastAsia="Times New Roman" w:hAnsi="Arial" w:cs="Arial"/>
                            <w:b/>
                            <w:bCs/>
                            <w:color w:val="FF0000"/>
                            <w:sz w:val="28"/>
                            <w:szCs w:val="28"/>
                            <w:u w:val="single"/>
                            <w:lang w:eastAsia="fr-FR"/>
                          </w:rPr>
                          <w:t>ouge</w:t>
                        </w:r>
                        <w:bookmarkEnd w:id="0"/>
                      </w:p>
                      <w:p w:rsidR="00E70FA3" w:rsidRPr="00AA32C9" w:rsidRDefault="00E70FA3" w:rsidP="00CF3E8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A32C9">
                          <w:rPr>
                            <w:rFonts w:ascii="Arial" w:eastAsia="Times New Roman" w:hAnsi="Arial" w:cs="Arial"/>
                            <w:sz w:val="20"/>
                            <w:szCs w:val="20"/>
                            <w:lang w:eastAsia="fr-FR"/>
                          </w:rPr>
                          <w:t>En Egypte, le rouge symbolisait l’amour divin. C’est la couleur du sang frais et du feu qui, selon les anciennes croyances a créée le monde et le détruira. Il symbolise la vie, la chaleur et la génération, mais aussi la destruction. Le rouge vif, ou clair est la force vitale, la richesse et l’amour. Mais, sous son aspect infernal, le rouge correspond à l’égoïsme, à la haine et à l’amour infernal.</w:t>
                        </w:r>
                      </w:p>
                      <w:p w:rsidR="00E70FA3" w:rsidRPr="00AA32C9" w:rsidRDefault="00E70FA3" w:rsidP="00CF3E8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A32C9">
                          <w:rPr>
                            <w:rFonts w:ascii="Arial" w:eastAsia="Times New Roman" w:hAnsi="Arial" w:cs="Arial"/>
                            <w:sz w:val="20"/>
                            <w:szCs w:val="20"/>
                            <w:lang w:eastAsia="fr-FR"/>
                          </w:rPr>
                          <w:t>Dans les textes sacrés des Chrétiens, des Egyptiens, des Hébreux et des Arabes, cette couleur a toujours été associée au feu et à l’amour divin, et a symbolisé la divinité et le culte. Couleur des généraux, de la noblesse, des patriciens et des empereurs à Rome, les cardinaux ont hérité de ce symbole de la souveraineté. Au Pérou, elle était liée à la guerre et désignait les soldats.</w:t>
                        </w:r>
                      </w:p>
                      <w:p w:rsidR="00E70FA3" w:rsidRPr="00AA32C9" w:rsidRDefault="00E70FA3" w:rsidP="00CF3E8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A32C9">
                          <w:rPr>
                            <w:rFonts w:ascii="Arial" w:eastAsia="Times New Roman" w:hAnsi="Arial" w:cs="Arial"/>
                            <w:sz w:val="20"/>
                            <w:szCs w:val="20"/>
                            <w:lang w:eastAsia="fr-FR"/>
                          </w:rPr>
                          <w:t>Au niveau psychologique, le rouge représente la joie de vivre, l’optimisme, la vigueur, l’instinct combatif et ses tendances agressives, la pulsion sexuelle, le désir amoureux, la passion, le besoin de conquête...</w:t>
                        </w:r>
                      </w:p>
                      <w:p w:rsidR="00E70FA3" w:rsidRPr="00AA32C9" w:rsidRDefault="00E70FA3" w:rsidP="00CF3E89">
                        <w:pPr>
                          <w:spacing w:before="100" w:beforeAutospacing="1" w:after="100" w:afterAutospacing="1" w:line="240" w:lineRule="auto"/>
                          <w:jc w:val="both"/>
                          <w:rPr>
                            <w:rFonts w:ascii="Times New Roman" w:eastAsia="Times New Roman" w:hAnsi="Times New Roman" w:cs="Times New Roman"/>
                            <w:sz w:val="24"/>
                            <w:szCs w:val="24"/>
                            <w:lang w:eastAsia="fr-FR"/>
                          </w:rPr>
                        </w:pPr>
                      </w:p>
                    </w:tc>
                  </w:tr>
                </w:tbl>
                <w:p w:rsidR="00E70FA3" w:rsidRPr="00AA32C9" w:rsidRDefault="00E70FA3" w:rsidP="00CF3E89">
                  <w:pPr>
                    <w:spacing w:after="0" w:line="240" w:lineRule="auto"/>
                    <w:jc w:val="both"/>
                    <w:rPr>
                      <w:rFonts w:ascii="Times New Roman" w:eastAsia="Times New Roman" w:hAnsi="Times New Roman" w:cs="Times New Roman"/>
                      <w:vanish/>
                      <w:sz w:val="24"/>
                      <w:szCs w:val="24"/>
                      <w:lang w:eastAsia="fr-FR"/>
                    </w:rPr>
                  </w:pPr>
                </w:p>
                <w:tbl>
                  <w:tblPr>
                    <w:tblW w:w="0" w:type="auto"/>
                    <w:tblCellSpacing w:w="7" w:type="dxa"/>
                    <w:tblCellMar>
                      <w:left w:w="0" w:type="dxa"/>
                      <w:right w:w="0" w:type="dxa"/>
                    </w:tblCellMar>
                    <w:tblLook w:val="04A0"/>
                  </w:tblPr>
                  <w:tblGrid>
                    <w:gridCol w:w="9036"/>
                  </w:tblGrid>
                  <w:tr w:rsidR="00E70FA3" w:rsidRPr="00AA32C9" w:rsidTr="00CF3E89">
                    <w:trPr>
                      <w:tblCellSpacing w:w="7" w:type="dxa"/>
                    </w:trPr>
                    <w:tc>
                      <w:tcPr>
                        <w:tcW w:w="0" w:type="auto"/>
                        <w:shd w:val="clear" w:color="auto" w:fill="auto"/>
                        <w:vAlign w:val="center"/>
                        <w:hideMark/>
                      </w:tcPr>
                      <w:p w:rsidR="00E70FA3" w:rsidRPr="008C2AB1" w:rsidRDefault="00E70FA3" w:rsidP="00CF3E89">
                        <w:pPr>
                          <w:spacing w:before="100" w:beforeAutospacing="1" w:after="100" w:afterAutospacing="1" w:line="240" w:lineRule="auto"/>
                          <w:jc w:val="both"/>
                          <w:rPr>
                            <w:rFonts w:ascii="Times New Roman" w:eastAsia="Times New Roman" w:hAnsi="Times New Roman" w:cs="Times New Roman"/>
                            <w:color w:val="FFFF00"/>
                            <w:sz w:val="28"/>
                            <w:szCs w:val="28"/>
                            <w:lang w:eastAsia="fr-FR"/>
                          </w:rPr>
                        </w:pPr>
                        <w:bookmarkStart w:id="1" w:name="jaune"/>
                        <w:r w:rsidRPr="008C2AB1">
                          <w:rPr>
                            <w:rFonts w:ascii="Arial" w:eastAsia="Times New Roman" w:hAnsi="Arial" w:cs="Arial"/>
                            <w:b/>
                            <w:bCs/>
                            <w:color w:val="FFFF00"/>
                            <w:sz w:val="28"/>
                            <w:szCs w:val="28"/>
                            <w:u w:val="single"/>
                            <w:lang w:eastAsia="fr-FR"/>
                          </w:rPr>
                          <w:t>Jaune</w:t>
                        </w:r>
                        <w:bookmarkEnd w:id="1"/>
                      </w:p>
                      <w:p w:rsidR="00E70FA3" w:rsidRPr="00AA32C9" w:rsidRDefault="00E70FA3" w:rsidP="00CF3E8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A32C9">
                          <w:rPr>
                            <w:rFonts w:ascii="Arial" w:eastAsia="Times New Roman" w:hAnsi="Arial" w:cs="Arial"/>
                            <w:sz w:val="20"/>
                            <w:szCs w:val="20"/>
                            <w:lang w:eastAsia="fr-FR"/>
                          </w:rPr>
                          <w:t xml:space="preserve">Couleur de la lumière, emblème de l’or, associé au miel, le jaune était la couleur de la lumière céleste révélée aux hommes et de la doctrine religieuse enseignée dans les temples. Mais le jaune lunaire, couleur de l’or terni est du soufre symbolise l’inconstance, la jalousie, les passions dépravés, l’adultère, la culpabilité, la trahison (dans l’iconographie, Judas est vêtu de jaune ; dans plusieurs pays, les juifs devaient porter des vêtements jaunes parce </w:t>
                        </w:r>
                        <w:r>
                          <w:rPr>
                            <w:rFonts w:ascii="Arial" w:eastAsia="Times New Roman" w:hAnsi="Arial" w:cs="Arial"/>
                            <w:sz w:val="20"/>
                            <w:szCs w:val="20"/>
                            <w:lang w:eastAsia="fr-FR"/>
                          </w:rPr>
                          <w:t>que Judas avait trahi le Christ</w:t>
                        </w:r>
                        <w:r w:rsidRPr="00AA32C9">
                          <w:rPr>
                            <w:rFonts w:ascii="Arial" w:eastAsia="Times New Roman" w:hAnsi="Arial" w:cs="Arial"/>
                            <w:sz w:val="20"/>
                            <w:szCs w:val="20"/>
                            <w:lang w:eastAsia="fr-FR"/>
                          </w:rPr>
                          <w:t>, ou une étoile jaune... ; en France, on barbouillait de jaune la porte des traîtres, les "</w:t>
                        </w:r>
                        <w:r w:rsidRPr="00AA32C9">
                          <w:rPr>
                            <w:rFonts w:ascii="Arial" w:eastAsia="Times New Roman" w:hAnsi="Arial" w:cs="Arial"/>
                            <w:i/>
                            <w:iCs/>
                            <w:sz w:val="20"/>
                            <w:szCs w:val="20"/>
                            <w:lang w:eastAsia="fr-FR"/>
                          </w:rPr>
                          <w:t>briseurs de grève</w:t>
                        </w:r>
                        <w:r w:rsidRPr="00AA32C9">
                          <w:rPr>
                            <w:rFonts w:ascii="Arial" w:eastAsia="Times New Roman" w:hAnsi="Arial" w:cs="Arial"/>
                            <w:sz w:val="20"/>
                            <w:szCs w:val="20"/>
                            <w:lang w:eastAsia="fr-FR"/>
                          </w:rPr>
                          <w:t>" étaient appelés des "</w:t>
                        </w:r>
                        <w:r w:rsidRPr="00AA32C9">
                          <w:rPr>
                            <w:rFonts w:ascii="Arial" w:eastAsia="Times New Roman" w:hAnsi="Arial" w:cs="Arial"/>
                            <w:i/>
                            <w:iCs/>
                            <w:sz w:val="20"/>
                            <w:szCs w:val="20"/>
                            <w:lang w:eastAsia="fr-FR"/>
                          </w:rPr>
                          <w:t>jaunes</w:t>
                        </w:r>
                        <w:r w:rsidRPr="00AA32C9">
                          <w:rPr>
                            <w:rFonts w:ascii="Arial" w:eastAsia="Times New Roman" w:hAnsi="Arial" w:cs="Arial"/>
                            <w:sz w:val="20"/>
                            <w:szCs w:val="20"/>
                            <w:lang w:eastAsia="fr-FR"/>
                          </w:rPr>
                          <w:t>"...)</w:t>
                        </w:r>
                      </w:p>
                      <w:p w:rsidR="00E70FA3" w:rsidRPr="00AA32C9" w:rsidRDefault="00E70FA3" w:rsidP="00E70FA3">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A32C9">
                          <w:rPr>
                            <w:rFonts w:ascii="Arial" w:eastAsia="Times New Roman" w:hAnsi="Arial" w:cs="Arial"/>
                            <w:sz w:val="20"/>
                            <w:szCs w:val="20"/>
                            <w:lang w:eastAsia="fr-FR"/>
                          </w:rPr>
                          <w:t>Au point de vue psychologique, et dans les rêves, le jaune est la couleur de l’intuition et symbolise la capacité de renouvellement, l’entrain, la jeunesse et l’audace, mais aussi souvent l’instabilité et la vanité. Il révèle un besoin de supériorité et à l’extrême, la volonté de puissance aveugle manifestée en prétentions exagérées à une supériorité factice (souvent compensation d’un sentiment d’infériorité mal liquidé ou inconscient).</w:t>
                        </w:r>
                      </w:p>
                    </w:tc>
                  </w:tr>
                </w:tbl>
                <w:p w:rsidR="00E70FA3" w:rsidRPr="00AA32C9" w:rsidRDefault="00E70FA3" w:rsidP="00CF3E89">
                  <w:pPr>
                    <w:spacing w:before="100" w:beforeAutospacing="1" w:after="100" w:afterAutospacing="1" w:line="240" w:lineRule="auto"/>
                    <w:jc w:val="both"/>
                    <w:rPr>
                      <w:rFonts w:ascii="Times New Roman" w:eastAsia="Times New Roman" w:hAnsi="Times New Roman" w:cs="Times New Roman"/>
                      <w:sz w:val="24"/>
                      <w:szCs w:val="24"/>
                      <w:lang w:eastAsia="fr-FR"/>
                    </w:rPr>
                  </w:pPr>
                </w:p>
                <w:tbl>
                  <w:tblPr>
                    <w:tblW w:w="0" w:type="auto"/>
                    <w:tblCellSpacing w:w="7" w:type="dxa"/>
                    <w:tblCellMar>
                      <w:left w:w="0" w:type="dxa"/>
                      <w:right w:w="0" w:type="dxa"/>
                    </w:tblCellMar>
                    <w:tblLook w:val="04A0"/>
                  </w:tblPr>
                  <w:tblGrid>
                    <w:gridCol w:w="9036"/>
                  </w:tblGrid>
                  <w:tr w:rsidR="00E70FA3" w:rsidRPr="00AA32C9" w:rsidTr="00CF3E89">
                    <w:trPr>
                      <w:tblCellSpacing w:w="7" w:type="dxa"/>
                    </w:trPr>
                    <w:tc>
                      <w:tcPr>
                        <w:tcW w:w="0" w:type="auto"/>
                        <w:vAlign w:val="center"/>
                        <w:hideMark/>
                      </w:tcPr>
                      <w:p w:rsidR="00E70FA3" w:rsidRPr="008C2AB1" w:rsidRDefault="00E70FA3" w:rsidP="00CF3E89">
                        <w:pPr>
                          <w:spacing w:before="100" w:beforeAutospacing="1" w:after="100" w:afterAutospacing="1" w:line="240" w:lineRule="auto"/>
                          <w:jc w:val="both"/>
                          <w:rPr>
                            <w:rFonts w:ascii="Times New Roman" w:eastAsia="Times New Roman" w:hAnsi="Times New Roman" w:cs="Times New Roman"/>
                            <w:color w:val="FFC000"/>
                            <w:sz w:val="28"/>
                            <w:szCs w:val="28"/>
                            <w:lang w:eastAsia="fr-FR"/>
                          </w:rPr>
                        </w:pPr>
                        <w:bookmarkStart w:id="2" w:name="eti24"/>
                        <w:r w:rsidRPr="008C2AB1">
                          <w:rPr>
                            <w:rFonts w:ascii="Arial" w:eastAsia="Times New Roman" w:hAnsi="Arial" w:cs="Arial"/>
                            <w:b/>
                            <w:bCs/>
                            <w:color w:val="FFC000"/>
                            <w:sz w:val="28"/>
                            <w:szCs w:val="28"/>
                            <w:u w:val="single"/>
                            <w:lang w:eastAsia="fr-FR"/>
                          </w:rPr>
                          <w:t>Orang</w:t>
                        </w:r>
                        <w:bookmarkEnd w:id="2"/>
                        <w:r w:rsidRPr="008C2AB1">
                          <w:rPr>
                            <w:rFonts w:ascii="Arial" w:eastAsia="Times New Roman" w:hAnsi="Arial" w:cs="Arial"/>
                            <w:b/>
                            <w:bCs/>
                            <w:color w:val="FFC000"/>
                            <w:sz w:val="28"/>
                            <w:szCs w:val="28"/>
                            <w:u w:val="single"/>
                            <w:lang w:eastAsia="fr-FR"/>
                          </w:rPr>
                          <w:t>e</w:t>
                        </w:r>
                      </w:p>
                      <w:p w:rsidR="00E70FA3" w:rsidRPr="00AA32C9" w:rsidRDefault="00E70FA3" w:rsidP="00CF3E89">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Arial" w:eastAsia="Times New Roman" w:hAnsi="Arial" w:cs="Arial"/>
                            <w:sz w:val="20"/>
                            <w:szCs w:val="20"/>
                            <w:lang w:eastAsia="fr-FR"/>
                          </w:rPr>
                          <w:t>L’orange</w:t>
                        </w:r>
                        <w:r w:rsidRPr="00AA32C9">
                          <w:rPr>
                            <w:rFonts w:ascii="Arial" w:eastAsia="Times New Roman" w:hAnsi="Arial" w:cs="Arial"/>
                            <w:sz w:val="20"/>
                            <w:szCs w:val="20"/>
                            <w:lang w:eastAsia="fr-FR"/>
                          </w:rPr>
                          <w:t xml:space="preserve"> qui procède du rouge et du jaune désigne la révélation de l’amour divin à l’âme humaine et fut le symbole du </w:t>
                        </w:r>
                        <w:r w:rsidRPr="00AA32C9">
                          <w:rPr>
                            <w:rFonts w:ascii="Arial" w:eastAsia="Times New Roman" w:hAnsi="Arial" w:cs="Arial"/>
                            <w:b/>
                            <w:bCs/>
                            <w:sz w:val="20"/>
                            <w:szCs w:val="20"/>
                            <w:lang w:eastAsia="fr-FR"/>
                          </w:rPr>
                          <w:t>mariage indissoluble</w:t>
                        </w:r>
                        <w:r w:rsidRPr="00AA32C9">
                          <w:rPr>
                            <w:rFonts w:ascii="Arial" w:eastAsia="Times New Roman" w:hAnsi="Arial" w:cs="Arial"/>
                            <w:sz w:val="20"/>
                            <w:szCs w:val="20"/>
                            <w:lang w:eastAsia="fr-FR"/>
                          </w:rPr>
                          <w:t>, mais aussi, par renversement du symbole, de l’</w:t>
                        </w:r>
                        <w:r w:rsidRPr="00AA32C9">
                          <w:rPr>
                            <w:rFonts w:ascii="Arial" w:eastAsia="Times New Roman" w:hAnsi="Arial" w:cs="Arial"/>
                            <w:b/>
                            <w:bCs/>
                            <w:sz w:val="20"/>
                            <w:szCs w:val="20"/>
                            <w:lang w:eastAsia="fr-FR"/>
                          </w:rPr>
                          <w:t>adultère</w:t>
                        </w:r>
                        <w:r w:rsidRPr="00AA32C9">
                          <w:rPr>
                            <w:rFonts w:ascii="Arial" w:eastAsia="Times New Roman" w:hAnsi="Arial" w:cs="Arial"/>
                            <w:sz w:val="20"/>
                            <w:szCs w:val="20"/>
                            <w:lang w:eastAsia="fr-FR"/>
                          </w:rPr>
                          <w:t xml:space="preserve">, de la </w:t>
                        </w:r>
                        <w:r w:rsidRPr="00AA32C9">
                          <w:rPr>
                            <w:rFonts w:ascii="Arial" w:eastAsia="Times New Roman" w:hAnsi="Arial" w:cs="Arial"/>
                            <w:b/>
                            <w:bCs/>
                            <w:sz w:val="20"/>
                            <w:szCs w:val="20"/>
                            <w:lang w:eastAsia="fr-FR"/>
                          </w:rPr>
                          <w:t>luxure</w:t>
                        </w:r>
                        <w:r w:rsidRPr="00AA32C9">
                          <w:rPr>
                            <w:rFonts w:ascii="Arial" w:eastAsia="Times New Roman" w:hAnsi="Arial" w:cs="Arial"/>
                            <w:sz w:val="20"/>
                            <w:szCs w:val="20"/>
                            <w:lang w:eastAsia="fr-FR"/>
                          </w:rPr>
                          <w:t xml:space="preserve">, et dans la langue héraldique, de la </w:t>
                        </w:r>
                        <w:r w:rsidRPr="00AA32C9">
                          <w:rPr>
                            <w:rFonts w:ascii="Arial" w:eastAsia="Times New Roman" w:hAnsi="Arial" w:cs="Arial"/>
                            <w:b/>
                            <w:bCs/>
                            <w:sz w:val="20"/>
                            <w:szCs w:val="20"/>
                            <w:lang w:eastAsia="fr-FR"/>
                          </w:rPr>
                          <w:t>dissimulation</w:t>
                        </w:r>
                        <w:r w:rsidRPr="00AA32C9">
                          <w:rPr>
                            <w:rFonts w:ascii="Arial" w:eastAsia="Times New Roman" w:hAnsi="Arial" w:cs="Arial"/>
                            <w:sz w:val="20"/>
                            <w:szCs w:val="20"/>
                            <w:lang w:eastAsia="fr-FR"/>
                          </w:rPr>
                          <w:t xml:space="preserve"> et de l’</w:t>
                        </w:r>
                        <w:r w:rsidRPr="00AA32C9">
                          <w:rPr>
                            <w:rFonts w:ascii="Arial" w:eastAsia="Times New Roman" w:hAnsi="Arial" w:cs="Arial"/>
                            <w:b/>
                            <w:bCs/>
                            <w:sz w:val="20"/>
                            <w:szCs w:val="20"/>
                            <w:lang w:eastAsia="fr-FR"/>
                          </w:rPr>
                          <w:t>hypocrisie</w:t>
                        </w:r>
                        <w:r w:rsidRPr="00AA32C9">
                          <w:rPr>
                            <w:rFonts w:ascii="Arial" w:eastAsia="Times New Roman" w:hAnsi="Arial" w:cs="Arial"/>
                            <w:sz w:val="20"/>
                            <w:szCs w:val="20"/>
                            <w:lang w:eastAsia="fr-FR"/>
                          </w:rPr>
                          <w:t>.</w:t>
                        </w:r>
                      </w:p>
                      <w:p w:rsidR="00E70FA3" w:rsidRPr="00AA32C9" w:rsidRDefault="00E70FA3" w:rsidP="00CF3E8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A32C9">
                          <w:rPr>
                            <w:rFonts w:ascii="Arial" w:eastAsia="Times New Roman" w:hAnsi="Arial" w:cs="Arial"/>
                            <w:sz w:val="20"/>
                            <w:szCs w:val="20"/>
                            <w:lang w:eastAsia="fr-FR"/>
                          </w:rPr>
                          <w:t xml:space="preserve">Dans les rêves, cette tonalité chaude et brillante, emblème de la luxure, exprime un intense </w:t>
                        </w:r>
                        <w:r w:rsidRPr="00AA32C9">
                          <w:rPr>
                            <w:rFonts w:ascii="Arial" w:eastAsia="Times New Roman" w:hAnsi="Arial" w:cs="Arial"/>
                            <w:b/>
                            <w:bCs/>
                            <w:sz w:val="20"/>
                            <w:szCs w:val="20"/>
                            <w:lang w:eastAsia="fr-FR"/>
                          </w:rPr>
                          <w:t>besoin de jouissance et d’expansion</w:t>
                        </w:r>
                        <w:r w:rsidRPr="00AA32C9">
                          <w:rPr>
                            <w:rFonts w:ascii="Arial" w:eastAsia="Times New Roman" w:hAnsi="Arial" w:cs="Arial"/>
                            <w:sz w:val="20"/>
                            <w:szCs w:val="20"/>
                            <w:lang w:eastAsia="fr-FR"/>
                          </w:rPr>
                          <w:t>, et reflète un équilibre fragile et la nécessité de contrôler ses impulsions.</w:t>
                        </w:r>
                      </w:p>
                      <w:p w:rsidR="00E70FA3" w:rsidRPr="00AA32C9" w:rsidRDefault="00E70FA3" w:rsidP="00CF3E8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A32C9">
                          <w:rPr>
                            <w:rFonts w:ascii="Arial" w:eastAsia="Times New Roman" w:hAnsi="Arial" w:cs="Arial"/>
                            <w:sz w:val="20"/>
                            <w:szCs w:val="20"/>
                            <w:lang w:eastAsia="fr-FR"/>
                          </w:rPr>
                          <w:t xml:space="preserve">Attribut de Typhon (le monstre qui, en s’attaquant aux dieux de l’Olympe, engagea la lutte entre la lumière et les forces souterraines, le </w:t>
                        </w:r>
                        <w:r w:rsidRPr="00AA32C9">
                          <w:rPr>
                            <w:rFonts w:ascii="Arial" w:eastAsia="Times New Roman" w:hAnsi="Arial" w:cs="Arial"/>
                            <w:b/>
                            <w:bCs/>
                            <w:sz w:val="20"/>
                            <w:szCs w:val="20"/>
                            <w:lang w:eastAsia="fr-FR"/>
                          </w:rPr>
                          <w:t>roux</w:t>
                        </w:r>
                        <w:r w:rsidRPr="00AA32C9">
                          <w:rPr>
                            <w:rFonts w:ascii="Arial" w:eastAsia="Times New Roman" w:hAnsi="Arial" w:cs="Arial"/>
                            <w:sz w:val="20"/>
                            <w:szCs w:val="20"/>
                            <w:lang w:eastAsia="fr-FR"/>
                          </w:rPr>
                          <w:t xml:space="preserve"> a symbolisé dans toutes les mythologies les tendances animales de l’homme, la fécondité extravagante, la perversion, la concupiscence et leurs conséquences</w:t>
                        </w:r>
                        <w:r w:rsidRPr="00AA32C9">
                          <w:rPr>
                            <w:rFonts w:ascii="Arial" w:eastAsia="Times New Roman" w:hAnsi="Arial" w:cs="Arial"/>
                            <w:b/>
                            <w:bCs/>
                            <w:sz w:val="20"/>
                            <w:szCs w:val="20"/>
                            <w:lang w:eastAsia="fr-FR"/>
                          </w:rPr>
                          <w:t xml:space="preserve"> </w:t>
                        </w:r>
                        <w:r w:rsidRPr="00AA32C9">
                          <w:rPr>
                            <w:rFonts w:ascii="Arial" w:eastAsia="Times New Roman" w:hAnsi="Arial" w:cs="Arial"/>
                            <w:sz w:val="20"/>
                            <w:szCs w:val="20"/>
                            <w:lang w:eastAsia="fr-FR"/>
                          </w:rPr>
                          <w:t>: intempérance, débauche, violence, égoïsme...</w:t>
                        </w:r>
                      </w:p>
                      <w:p w:rsidR="00E70FA3" w:rsidRDefault="00E70FA3" w:rsidP="00CF3E89">
                        <w:pPr>
                          <w:spacing w:before="100" w:beforeAutospacing="1" w:after="100" w:afterAutospacing="1" w:line="240" w:lineRule="auto"/>
                          <w:jc w:val="both"/>
                          <w:rPr>
                            <w:rFonts w:ascii="Times New Roman" w:eastAsia="Times New Roman" w:hAnsi="Times New Roman" w:cs="Times New Roman"/>
                            <w:sz w:val="24"/>
                            <w:szCs w:val="24"/>
                            <w:lang w:eastAsia="fr-FR"/>
                          </w:rPr>
                        </w:pPr>
                      </w:p>
                      <w:p w:rsidR="00E70FA3" w:rsidRPr="00AA32C9" w:rsidRDefault="00E70FA3" w:rsidP="00CF3E89">
                        <w:pPr>
                          <w:spacing w:before="100" w:beforeAutospacing="1" w:after="100" w:afterAutospacing="1" w:line="240" w:lineRule="auto"/>
                          <w:jc w:val="both"/>
                          <w:rPr>
                            <w:rFonts w:ascii="Times New Roman" w:eastAsia="Times New Roman" w:hAnsi="Times New Roman" w:cs="Times New Roman"/>
                            <w:sz w:val="24"/>
                            <w:szCs w:val="24"/>
                            <w:lang w:eastAsia="fr-FR"/>
                          </w:rPr>
                        </w:pPr>
                      </w:p>
                    </w:tc>
                  </w:tr>
                </w:tbl>
                <w:p w:rsidR="00E70FA3" w:rsidRPr="00BB0A62" w:rsidRDefault="00E70FA3" w:rsidP="00CF3E89">
                  <w:pPr>
                    <w:spacing w:before="100" w:beforeAutospacing="1" w:after="100" w:afterAutospacing="1" w:line="240" w:lineRule="auto"/>
                    <w:jc w:val="both"/>
                    <w:rPr>
                      <w:rFonts w:ascii="Times New Roman" w:eastAsia="Times New Roman" w:hAnsi="Times New Roman" w:cs="Times New Roman"/>
                      <w:color w:val="00B050"/>
                      <w:sz w:val="28"/>
                      <w:szCs w:val="28"/>
                      <w:lang w:eastAsia="fr-FR"/>
                    </w:rPr>
                  </w:pPr>
                  <w:bookmarkStart w:id="3" w:name="eti25"/>
                  <w:r w:rsidRPr="00BB0A62">
                    <w:rPr>
                      <w:rFonts w:ascii="Arial" w:eastAsia="Times New Roman" w:hAnsi="Arial" w:cs="Arial"/>
                      <w:b/>
                      <w:bCs/>
                      <w:color w:val="00B050"/>
                      <w:sz w:val="28"/>
                      <w:szCs w:val="28"/>
                      <w:u w:val="single"/>
                      <w:lang w:eastAsia="fr-FR"/>
                    </w:rPr>
                    <w:lastRenderedPageBreak/>
                    <w:t>Vert</w:t>
                  </w:r>
                  <w:bookmarkEnd w:id="3"/>
                </w:p>
                <w:p w:rsidR="00E70FA3" w:rsidRPr="00AA32C9" w:rsidRDefault="00E70FA3" w:rsidP="00CF3E8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A32C9">
                    <w:rPr>
                      <w:rFonts w:ascii="Arial" w:eastAsia="Times New Roman" w:hAnsi="Arial" w:cs="Arial"/>
                      <w:sz w:val="20"/>
                      <w:szCs w:val="20"/>
                      <w:lang w:eastAsia="fr-FR"/>
                    </w:rPr>
                    <w:t>Le vert, couleur de la nature, est doué d’un pouvoir de régénération, car il capte l’énergie solaire et la transforme en énergie vitale. Il est le symbole de le régénération spirituelle. Couleur des bourgeons printanier, signalant la fin de l’hiver, il symbolise l’</w:t>
                  </w:r>
                  <w:r w:rsidRPr="00AA32C9">
                    <w:rPr>
                      <w:rFonts w:ascii="Arial" w:eastAsia="Times New Roman" w:hAnsi="Arial" w:cs="Arial"/>
                      <w:b/>
                      <w:bCs/>
                      <w:sz w:val="20"/>
                      <w:szCs w:val="20"/>
                      <w:lang w:eastAsia="fr-FR"/>
                    </w:rPr>
                    <w:t>espérance</w:t>
                  </w:r>
                  <w:r w:rsidRPr="00AA32C9">
                    <w:rPr>
                      <w:rFonts w:ascii="Arial" w:eastAsia="Times New Roman" w:hAnsi="Arial" w:cs="Arial"/>
                      <w:sz w:val="20"/>
                      <w:szCs w:val="20"/>
                      <w:lang w:eastAsia="fr-FR"/>
                    </w:rPr>
                    <w:t>. En Egypte, la couleur verte est attribuée à Phtah, le créateur et le stabilisateur, et à l’eau, parce que dans la cosmogonie égyptienne, l’eau était l’élément primordial de la création. Elle désignait la fondation du temps, la création du monde et symbolisait la naissance matérielle et spirituelle, c’est à dire les mystères de l’initiation.</w:t>
                  </w:r>
                </w:p>
                <w:p w:rsidR="00E70FA3" w:rsidRPr="00E70FA3" w:rsidRDefault="00E70FA3" w:rsidP="00CF3E8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A32C9">
                    <w:rPr>
                      <w:rFonts w:ascii="Arial" w:eastAsia="Times New Roman" w:hAnsi="Arial" w:cs="Arial"/>
                      <w:sz w:val="20"/>
                      <w:szCs w:val="20"/>
                      <w:lang w:eastAsia="fr-FR"/>
                    </w:rPr>
                    <w:t>Produit de l’association du jaune et du bleu, le vert possède une dualité</w:t>
                  </w:r>
                  <w:r w:rsidRPr="00AA32C9">
                    <w:rPr>
                      <w:rFonts w:ascii="Arial" w:eastAsia="Times New Roman" w:hAnsi="Arial" w:cs="Arial"/>
                      <w:b/>
                      <w:bCs/>
                      <w:sz w:val="20"/>
                      <w:szCs w:val="20"/>
                      <w:lang w:eastAsia="fr-FR"/>
                    </w:rPr>
                    <w:t xml:space="preserve"> </w:t>
                  </w:r>
                  <w:r w:rsidRPr="00AA32C9">
                    <w:rPr>
                      <w:rFonts w:ascii="Arial" w:eastAsia="Times New Roman" w:hAnsi="Arial" w:cs="Arial"/>
                      <w:sz w:val="20"/>
                      <w:szCs w:val="20"/>
                      <w:lang w:eastAsia="fr-FR"/>
                    </w:rPr>
                    <w:t xml:space="preserve">: c’est la couleur de Vénus, symbole de renouveau, mais aussi de la vengeance ; du dieu-serpent aztèque, inventeur des arts, identifié au Thot-Mercure égypto-latin et au Lug gaulois, médecin, magicien, satiriste et artisan ; du </w:t>
                  </w:r>
                  <w:r w:rsidRPr="00E70FA3">
                    <w:rPr>
                      <w:rFonts w:ascii="Arial" w:eastAsia="Times New Roman" w:hAnsi="Arial" w:cs="Arial"/>
                      <w:sz w:val="20"/>
                      <w:szCs w:val="20"/>
                      <w:lang w:eastAsia="fr-FR"/>
                    </w:rPr>
                    <w:t xml:space="preserve">Kirs musulman qui avait pour fonction de concilier les extrêmes (fonction synthétisée par le Caducée). En Chine, le vert désigne l’Est, le printemps, le bois et la charité ; dans le christianisme, la régénération dans les actes, c’est à dire la </w:t>
                  </w:r>
                  <w:r w:rsidRPr="00E70FA3">
                    <w:rPr>
                      <w:rFonts w:ascii="Arial" w:eastAsia="Times New Roman" w:hAnsi="Arial" w:cs="Arial"/>
                      <w:bCs/>
                      <w:sz w:val="20"/>
                      <w:szCs w:val="20"/>
                      <w:lang w:eastAsia="fr-FR"/>
                    </w:rPr>
                    <w:t>charité</w:t>
                  </w:r>
                  <w:r w:rsidRPr="00E70FA3">
                    <w:rPr>
                      <w:rFonts w:ascii="Arial" w:eastAsia="Times New Roman" w:hAnsi="Arial" w:cs="Arial"/>
                      <w:sz w:val="20"/>
                      <w:szCs w:val="20"/>
                      <w:lang w:eastAsia="fr-FR"/>
                    </w:rPr>
                    <w:t xml:space="preserve">, et par antinomie la </w:t>
                  </w:r>
                  <w:r w:rsidRPr="00E70FA3">
                    <w:rPr>
                      <w:rFonts w:ascii="Arial" w:eastAsia="Times New Roman" w:hAnsi="Arial" w:cs="Arial"/>
                      <w:bCs/>
                      <w:sz w:val="20"/>
                      <w:szCs w:val="20"/>
                      <w:lang w:eastAsia="fr-FR"/>
                    </w:rPr>
                    <w:t>dégradation morale</w:t>
                  </w:r>
                  <w:r w:rsidRPr="00E70FA3">
                    <w:rPr>
                      <w:rFonts w:ascii="Arial" w:eastAsia="Times New Roman" w:hAnsi="Arial" w:cs="Arial"/>
                      <w:sz w:val="20"/>
                      <w:szCs w:val="20"/>
                      <w:lang w:eastAsia="fr-FR"/>
                    </w:rPr>
                    <w:t xml:space="preserve"> et la </w:t>
                  </w:r>
                  <w:r w:rsidRPr="00E70FA3">
                    <w:rPr>
                      <w:rFonts w:ascii="Arial" w:eastAsia="Times New Roman" w:hAnsi="Arial" w:cs="Arial"/>
                      <w:bCs/>
                      <w:sz w:val="20"/>
                      <w:szCs w:val="20"/>
                      <w:lang w:eastAsia="fr-FR"/>
                    </w:rPr>
                    <w:t>folie</w:t>
                  </w:r>
                  <w:r w:rsidRPr="00E70FA3">
                    <w:rPr>
                      <w:rFonts w:ascii="Arial" w:eastAsia="Times New Roman" w:hAnsi="Arial" w:cs="Arial"/>
                      <w:sz w:val="20"/>
                      <w:szCs w:val="20"/>
                      <w:lang w:eastAsia="fr-FR"/>
                    </w:rPr>
                    <w:t xml:space="preserve">, le </w:t>
                  </w:r>
                  <w:r w:rsidRPr="00E70FA3">
                    <w:rPr>
                      <w:rFonts w:ascii="Arial" w:eastAsia="Times New Roman" w:hAnsi="Arial" w:cs="Arial"/>
                      <w:bCs/>
                      <w:sz w:val="20"/>
                      <w:szCs w:val="20"/>
                      <w:lang w:eastAsia="fr-FR"/>
                    </w:rPr>
                    <w:t>désespoir</w:t>
                  </w:r>
                  <w:r w:rsidRPr="00E70FA3">
                    <w:rPr>
                      <w:rFonts w:ascii="Arial" w:eastAsia="Times New Roman" w:hAnsi="Arial" w:cs="Arial"/>
                      <w:sz w:val="20"/>
                      <w:szCs w:val="20"/>
                      <w:lang w:eastAsia="fr-FR"/>
                    </w:rPr>
                    <w:t>. Teinté de jaune (la couleur des yeux du dragon et des serpents) le vert est la couleur des eaux mortes, de la putréfaction et a une influence néfaste.</w:t>
                  </w:r>
                </w:p>
                <w:p w:rsidR="00E70FA3" w:rsidRPr="00E70FA3" w:rsidRDefault="00E70FA3" w:rsidP="00CF3E89">
                  <w:pPr>
                    <w:spacing w:before="100" w:beforeAutospacing="1" w:after="100" w:afterAutospacing="1" w:line="240" w:lineRule="auto"/>
                    <w:jc w:val="both"/>
                    <w:rPr>
                      <w:rFonts w:ascii="Arial" w:eastAsia="Times New Roman" w:hAnsi="Arial" w:cs="Arial"/>
                      <w:sz w:val="20"/>
                      <w:szCs w:val="20"/>
                      <w:lang w:eastAsia="fr-FR"/>
                    </w:rPr>
                  </w:pPr>
                  <w:r w:rsidRPr="00E70FA3">
                    <w:rPr>
                      <w:rFonts w:ascii="Arial" w:eastAsia="Times New Roman" w:hAnsi="Arial" w:cs="Arial"/>
                      <w:sz w:val="20"/>
                      <w:szCs w:val="20"/>
                      <w:lang w:eastAsia="fr-FR"/>
                    </w:rPr>
                    <w:t>Sur le plan psychologique et dans les rêves, le vert, couleur de la vigueur sexuelle, reflète le besoin d’épanouissement, d’estime, de valorisation, de culture et de connaissance.</w:t>
                  </w:r>
                </w:p>
                <w:p w:rsidR="00E70FA3" w:rsidRPr="00E70FA3" w:rsidRDefault="00E70FA3" w:rsidP="00CF3E89">
                  <w:pPr>
                    <w:spacing w:before="100" w:beforeAutospacing="1" w:after="100" w:afterAutospacing="1" w:line="240" w:lineRule="auto"/>
                    <w:jc w:val="both"/>
                    <w:rPr>
                      <w:rFonts w:ascii="Times New Roman" w:eastAsia="Times New Roman" w:hAnsi="Times New Roman" w:cs="Times New Roman"/>
                      <w:sz w:val="24"/>
                      <w:szCs w:val="24"/>
                      <w:lang w:eastAsia="fr-FR"/>
                    </w:rPr>
                  </w:pPr>
                </w:p>
                <w:p w:rsidR="00E70FA3" w:rsidRPr="00E70FA3" w:rsidRDefault="00E70FA3" w:rsidP="00CF3E89">
                  <w:pPr>
                    <w:spacing w:before="100" w:beforeAutospacing="1" w:after="100" w:afterAutospacing="1" w:line="240" w:lineRule="auto"/>
                    <w:jc w:val="both"/>
                    <w:rPr>
                      <w:rFonts w:ascii="Times New Roman" w:eastAsia="Times New Roman" w:hAnsi="Times New Roman" w:cs="Times New Roman"/>
                      <w:b/>
                      <w:color w:val="0070C0"/>
                      <w:sz w:val="28"/>
                      <w:szCs w:val="28"/>
                      <w:lang w:eastAsia="fr-FR"/>
                    </w:rPr>
                  </w:pPr>
                  <w:bookmarkStart w:id="4" w:name="eti26"/>
                  <w:r w:rsidRPr="00E70FA3">
                    <w:rPr>
                      <w:rFonts w:ascii="Arial" w:eastAsia="Times New Roman" w:hAnsi="Arial" w:cs="Arial"/>
                      <w:b/>
                      <w:bCs/>
                      <w:color w:val="0070C0"/>
                      <w:sz w:val="28"/>
                      <w:szCs w:val="28"/>
                      <w:u w:val="single"/>
                      <w:lang w:eastAsia="fr-FR"/>
                    </w:rPr>
                    <w:t>Bleu</w:t>
                  </w:r>
                  <w:bookmarkEnd w:id="4"/>
                </w:p>
                <w:p w:rsidR="00E70FA3" w:rsidRPr="00E70FA3" w:rsidRDefault="00E70FA3" w:rsidP="00CF3E8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70FA3">
                    <w:rPr>
                      <w:rFonts w:ascii="Arial" w:eastAsia="Times New Roman" w:hAnsi="Arial" w:cs="Arial"/>
                      <w:sz w:val="20"/>
                      <w:szCs w:val="20"/>
                      <w:lang w:eastAsia="fr-FR"/>
                    </w:rPr>
                    <w:t>Le bleu est associé à la divinité dans toutes les mythologies</w:t>
                  </w:r>
                  <w:r w:rsidRPr="00E70FA3">
                    <w:rPr>
                      <w:rFonts w:ascii="Arial" w:eastAsia="Times New Roman" w:hAnsi="Arial" w:cs="Arial"/>
                      <w:bCs/>
                      <w:sz w:val="20"/>
                      <w:szCs w:val="20"/>
                      <w:lang w:eastAsia="fr-FR"/>
                    </w:rPr>
                    <w:t xml:space="preserve"> </w:t>
                  </w:r>
                  <w:r w:rsidRPr="00E70FA3">
                    <w:rPr>
                      <w:rFonts w:ascii="Arial" w:eastAsia="Times New Roman" w:hAnsi="Arial" w:cs="Arial"/>
                      <w:sz w:val="20"/>
                      <w:szCs w:val="20"/>
                      <w:lang w:eastAsia="fr-FR"/>
                    </w:rPr>
                    <w:t>: à Amon-Râ, dieu du soleil levant dans l’ancienne Egypte ; en Grèce à Jupiter, père des dieux et des hommes, et à Junon, incarnation de la féminité féconde et épanouie ; en Inde, à Vishnou le justicier... En Chine, il symbolise le Tao, la Voie sacrée, le principe insondable des êtres.</w:t>
                  </w:r>
                </w:p>
                <w:p w:rsidR="00E70FA3" w:rsidRPr="00E70FA3" w:rsidRDefault="00E70FA3" w:rsidP="00CF3E8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70FA3">
                    <w:rPr>
                      <w:rFonts w:ascii="Arial" w:eastAsia="Times New Roman" w:hAnsi="Arial" w:cs="Arial"/>
                      <w:sz w:val="20"/>
                      <w:szCs w:val="20"/>
                      <w:lang w:eastAsia="fr-FR"/>
                    </w:rPr>
                    <w:t>Le bleu jupitérien, couleur froide du vide, est celle de la</w:t>
                  </w:r>
                  <w:r w:rsidRPr="00E70FA3">
                    <w:rPr>
                      <w:rFonts w:ascii="Arial" w:eastAsia="Times New Roman" w:hAnsi="Arial" w:cs="Arial"/>
                      <w:bCs/>
                      <w:sz w:val="20"/>
                      <w:szCs w:val="20"/>
                      <w:lang w:eastAsia="fr-FR"/>
                    </w:rPr>
                    <w:t xml:space="preserve"> vérité</w:t>
                  </w:r>
                  <w:r w:rsidRPr="00E70FA3">
                    <w:rPr>
                      <w:rFonts w:ascii="Arial" w:eastAsia="Times New Roman" w:hAnsi="Arial" w:cs="Arial"/>
                      <w:sz w:val="20"/>
                      <w:szCs w:val="20"/>
                      <w:lang w:eastAsia="fr-FR"/>
                    </w:rPr>
                    <w:t xml:space="preserve"> ; pour les Égyptiens, de la vérité éternelle, de l’immortalité ; la </w:t>
                  </w:r>
                  <w:r w:rsidRPr="00E70FA3">
                    <w:rPr>
                      <w:rFonts w:ascii="Arial" w:eastAsia="Times New Roman" w:hAnsi="Arial" w:cs="Arial"/>
                      <w:bCs/>
                      <w:sz w:val="20"/>
                      <w:szCs w:val="20"/>
                      <w:lang w:eastAsia="fr-FR"/>
                    </w:rPr>
                    <w:t>fidélité</w:t>
                  </w:r>
                  <w:r w:rsidRPr="00E70FA3">
                    <w:rPr>
                      <w:rFonts w:ascii="Arial" w:eastAsia="Times New Roman" w:hAnsi="Arial" w:cs="Arial"/>
                      <w:sz w:val="20"/>
                      <w:szCs w:val="20"/>
                      <w:lang w:eastAsia="fr-FR"/>
                    </w:rPr>
                    <w:t xml:space="preserve">, la </w:t>
                  </w:r>
                  <w:r w:rsidRPr="00E70FA3">
                    <w:rPr>
                      <w:rFonts w:ascii="Arial" w:eastAsia="Times New Roman" w:hAnsi="Arial" w:cs="Arial"/>
                      <w:bCs/>
                      <w:sz w:val="20"/>
                      <w:szCs w:val="20"/>
                      <w:lang w:eastAsia="fr-FR"/>
                    </w:rPr>
                    <w:t>chasteté</w:t>
                  </w:r>
                  <w:r w:rsidRPr="00E70FA3">
                    <w:rPr>
                      <w:rFonts w:ascii="Arial" w:eastAsia="Times New Roman" w:hAnsi="Arial" w:cs="Arial"/>
                      <w:sz w:val="20"/>
                      <w:szCs w:val="20"/>
                      <w:lang w:eastAsia="fr-FR"/>
                    </w:rPr>
                    <w:t xml:space="preserve">, la </w:t>
                  </w:r>
                  <w:r w:rsidRPr="00E70FA3">
                    <w:rPr>
                      <w:rFonts w:ascii="Arial" w:eastAsia="Times New Roman" w:hAnsi="Arial" w:cs="Arial"/>
                      <w:bCs/>
                      <w:sz w:val="20"/>
                      <w:szCs w:val="20"/>
                      <w:lang w:eastAsia="fr-FR"/>
                    </w:rPr>
                    <w:t>loyauté</w:t>
                  </w:r>
                  <w:r w:rsidRPr="00E70FA3">
                    <w:rPr>
                      <w:rFonts w:ascii="Arial" w:eastAsia="Times New Roman" w:hAnsi="Arial" w:cs="Arial"/>
                      <w:sz w:val="20"/>
                      <w:szCs w:val="20"/>
                      <w:lang w:eastAsia="fr-FR"/>
                    </w:rPr>
                    <w:t xml:space="preserve"> et la </w:t>
                  </w:r>
                  <w:r w:rsidRPr="00E70FA3">
                    <w:rPr>
                      <w:rFonts w:ascii="Arial" w:eastAsia="Times New Roman" w:hAnsi="Arial" w:cs="Arial"/>
                      <w:bCs/>
                      <w:sz w:val="20"/>
                      <w:szCs w:val="20"/>
                      <w:lang w:eastAsia="fr-FR"/>
                    </w:rPr>
                    <w:t>justice</w:t>
                  </w:r>
                  <w:r w:rsidRPr="00E70FA3">
                    <w:rPr>
                      <w:rFonts w:ascii="Arial" w:eastAsia="Times New Roman" w:hAnsi="Arial" w:cs="Arial"/>
                      <w:sz w:val="20"/>
                      <w:szCs w:val="20"/>
                      <w:lang w:eastAsia="fr-FR"/>
                    </w:rPr>
                    <w:t xml:space="preserve"> dans la tradition chrétienne. Identifié à l’air, au vent, il symbolise la spiritualité, la contemplation, la passivité et favorise la méditation, le repos. Le bleu clair reflète l’inaccessible, le merveilleux, l’évasion.</w:t>
                  </w:r>
                </w:p>
                <w:p w:rsidR="00E70FA3" w:rsidRPr="00E70FA3" w:rsidRDefault="00E70FA3" w:rsidP="00CF3E8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70FA3">
                    <w:rPr>
                      <w:rFonts w:ascii="Arial" w:eastAsia="Times New Roman" w:hAnsi="Arial" w:cs="Arial"/>
                      <w:sz w:val="20"/>
                      <w:szCs w:val="20"/>
                      <w:lang w:eastAsia="fr-FR"/>
                    </w:rPr>
                    <w:t xml:space="preserve">Sur le plan psychologique et dans les rêves, le bleu est la couleur de la </w:t>
                  </w:r>
                  <w:r w:rsidRPr="00E70FA3">
                    <w:rPr>
                      <w:rFonts w:ascii="Arial" w:eastAsia="Times New Roman" w:hAnsi="Arial" w:cs="Arial"/>
                      <w:bCs/>
                      <w:sz w:val="20"/>
                      <w:szCs w:val="20"/>
                      <w:lang w:eastAsia="fr-FR"/>
                    </w:rPr>
                    <w:t>tolérance</w:t>
                  </w:r>
                  <w:r w:rsidRPr="00E70FA3">
                    <w:rPr>
                      <w:rFonts w:ascii="Arial" w:eastAsia="Times New Roman" w:hAnsi="Arial" w:cs="Arial"/>
                      <w:sz w:val="20"/>
                      <w:szCs w:val="20"/>
                      <w:lang w:eastAsia="fr-FR"/>
                    </w:rPr>
                    <w:t xml:space="preserve"> et représente </w:t>
                  </w:r>
                  <w:r w:rsidRPr="00E70FA3">
                    <w:rPr>
                      <w:rFonts w:ascii="Arial" w:eastAsia="Times New Roman" w:hAnsi="Arial" w:cs="Arial"/>
                      <w:bCs/>
                      <w:sz w:val="20"/>
                      <w:szCs w:val="20"/>
                      <w:lang w:eastAsia="fr-FR"/>
                    </w:rPr>
                    <w:t>l’équilibre</w:t>
                  </w:r>
                  <w:r w:rsidRPr="00E70FA3">
                    <w:rPr>
                      <w:rFonts w:ascii="Arial" w:eastAsia="Times New Roman" w:hAnsi="Arial" w:cs="Arial"/>
                      <w:sz w:val="20"/>
                      <w:szCs w:val="20"/>
                      <w:lang w:eastAsia="fr-FR"/>
                    </w:rPr>
                    <w:t xml:space="preserve">, le </w:t>
                  </w:r>
                  <w:r w:rsidRPr="00E70FA3">
                    <w:rPr>
                      <w:rFonts w:ascii="Arial" w:eastAsia="Times New Roman" w:hAnsi="Arial" w:cs="Arial"/>
                      <w:bCs/>
                      <w:sz w:val="20"/>
                      <w:szCs w:val="20"/>
                      <w:lang w:eastAsia="fr-FR"/>
                    </w:rPr>
                    <w:t>contrôle de soi</w:t>
                  </w:r>
                  <w:r w:rsidRPr="00E70FA3">
                    <w:rPr>
                      <w:rFonts w:ascii="Arial" w:eastAsia="Times New Roman" w:hAnsi="Arial" w:cs="Arial"/>
                      <w:sz w:val="20"/>
                      <w:szCs w:val="20"/>
                      <w:lang w:eastAsia="fr-FR"/>
                    </w:rPr>
                    <w:t>, les tendances à la</w:t>
                  </w:r>
                  <w:r w:rsidRPr="00E70FA3">
                    <w:rPr>
                      <w:rFonts w:ascii="Arial" w:eastAsia="Times New Roman" w:hAnsi="Arial" w:cs="Arial"/>
                      <w:bCs/>
                      <w:sz w:val="20"/>
                      <w:szCs w:val="20"/>
                      <w:lang w:eastAsia="fr-FR"/>
                    </w:rPr>
                    <w:t xml:space="preserve"> générosité</w:t>
                  </w:r>
                  <w:r w:rsidRPr="00E70FA3">
                    <w:rPr>
                      <w:rFonts w:ascii="Arial" w:eastAsia="Times New Roman" w:hAnsi="Arial" w:cs="Arial"/>
                      <w:sz w:val="20"/>
                      <w:szCs w:val="20"/>
                      <w:lang w:eastAsia="fr-FR"/>
                    </w:rPr>
                    <w:t xml:space="preserve">, à la </w:t>
                  </w:r>
                  <w:r w:rsidRPr="00E70FA3">
                    <w:rPr>
                      <w:rFonts w:ascii="Arial" w:eastAsia="Times New Roman" w:hAnsi="Arial" w:cs="Arial"/>
                      <w:bCs/>
                      <w:sz w:val="20"/>
                      <w:szCs w:val="20"/>
                      <w:lang w:eastAsia="fr-FR"/>
                    </w:rPr>
                    <w:t>bonté</w:t>
                  </w:r>
                  <w:r w:rsidRPr="00E70FA3">
                    <w:rPr>
                      <w:rFonts w:ascii="Arial" w:eastAsia="Times New Roman" w:hAnsi="Arial" w:cs="Arial"/>
                      <w:sz w:val="20"/>
                      <w:szCs w:val="20"/>
                      <w:lang w:eastAsia="fr-FR"/>
                    </w:rPr>
                    <w:t xml:space="preserve">, un comportement </w:t>
                  </w:r>
                  <w:r w:rsidRPr="00E70FA3">
                    <w:rPr>
                      <w:rFonts w:ascii="Arial" w:eastAsia="Times New Roman" w:hAnsi="Arial" w:cs="Arial"/>
                      <w:bCs/>
                      <w:sz w:val="20"/>
                      <w:szCs w:val="20"/>
                      <w:lang w:eastAsia="fr-FR"/>
                    </w:rPr>
                    <w:t>réfléchi</w:t>
                  </w:r>
                  <w:r w:rsidRPr="00E70FA3">
                    <w:rPr>
                      <w:rFonts w:ascii="Arial" w:eastAsia="Times New Roman" w:hAnsi="Arial" w:cs="Arial"/>
                      <w:sz w:val="20"/>
                      <w:szCs w:val="20"/>
                      <w:lang w:eastAsia="fr-FR"/>
                    </w:rPr>
                    <w:t xml:space="preserve"> et le besoin de </w:t>
                  </w:r>
                  <w:r w:rsidRPr="00E70FA3">
                    <w:rPr>
                      <w:rFonts w:ascii="Arial" w:eastAsia="Times New Roman" w:hAnsi="Arial" w:cs="Arial"/>
                      <w:bCs/>
                      <w:sz w:val="20"/>
                      <w:szCs w:val="20"/>
                      <w:lang w:eastAsia="fr-FR"/>
                    </w:rPr>
                    <w:t>sérénité</w:t>
                  </w:r>
                  <w:r w:rsidRPr="00E70FA3">
                    <w:rPr>
                      <w:rFonts w:ascii="Arial" w:eastAsia="Times New Roman" w:hAnsi="Arial" w:cs="Arial"/>
                      <w:sz w:val="20"/>
                      <w:szCs w:val="20"/>
                      <w:lang w:eastAsia="fr-FR"/>
                    </w:rPr>
                    <w:t>.</w:t>
                  </w:r>
                </w:p>
                <w:p w:rsidR="00E70FA3" w:rsidRPr="00E70FA3" w:rsidRDefault="00E70FA3" w:rsidP="00CF3E89">
                  <w:pPr>
                    <w:spacing w:before="100" w:beforeAutospacing="1" w:after="100" w:afterAutospacing="1" w:line="240" w:lineRule="auto"/>
                    <w:jc w:val="both"/>
                    <w:rPr>
                      <w:rFonts w:ascii="Times New Roman" w:eastAsia="Times New Roman" w:hAnsi="Times New Roman" w:cs="Times New Roman"/>
                      <w:color w:val="7030A0"/>
                      <w:sz w:val="28"/>
                      <w:szCs w:val="28"/>
                      <w:lang w:eastAsia="fr-FR"/>
                    </w:rPr>
                  </w:pPr>
                  <w:bookmarkStart w:id="5" w:name="eti27"/>
                  <w:r w:rsidRPr="00E70FA3">
                    <w:rPr>
                      <w:rFonts w:ascii="Arial" w:eastAsia="Times New Roman" w:hAnsi="Arial" w:cs="Arial"/>
                      <w:bCs/>
                      <w:color w:val="7030A0"/>
                      <w:sz w:val="28"/>
                      <w:szCs w:val="28"/>
                      <w:u w:val="single"/>
                      <w:lang w:eastAsia="fr-FR"/>
                    </w:rPr>
                    <w:t>Violet</w:t>
                  </w:r>
                  <w:bookmarkEnd w:id="5"/>
                </w:p>
                <w:p w:rsidR="00E70FA3" w:rsidRPr="00E70FA3" w:rsidRDefault="00E70FA3" w:rsidP="00CF3E8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70FA3">
                    <w:rPr>
                      <w:rFonts w:ascii="Arial" w:eastAsia="Times New Roman" w:hAnsi="Arial" w:cs="Arial"/>
                      <w:sz w:val="20"/>
                      <w:szCs w:val="20"/>
                      <w:lang w:eastAsia="fr-FR"/>
                    </w:rPr>
                    <w:t>Le bleu et le rouge s’équilibrent dans le violet qui signifie l’amour de la vérité et la vérité de l’amour. Il fut le symbole des noces mystiques du Seigneur et de l’Eglise, de la passion et des martyrs, et représente l’identification totale du Père et du Fils. C’est aussi la couleur des veuves, des évêques et des martyrs, et un symbole de mort pour les Chinois.</w:t>
                  </w:r>
                </w:p>
                <w:p w:rsidR="00E70FA3" w:rsidRPr="00AA32C9" w:rsidRDefault="00E70FA3" w:rsidP="00E70FA3">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70FA3">
                    <w:rPr>
                      <w:rFonts w:ascii="Arial" w:eastAsia="Times New Roman" w:hAnsi="Arial" w:cs="Arial"/>
                      <w:sz w:val="20"/>
                      <w:szCs w:val="20"/>
                      <w:lang w:eastAsia="fr-FR"/>
                    </w:rPr>
                    <w:t xml:space="preserve">En psychologie, le violet, couleur de la </w:t>
                  </w:r>
                  <w:r w:rsidRPr="00E70FA3">
                    <w:rPr>
                      <w:rFonts w:ascii="Arial" w:eastAsia="Times New Roman" w:hAnsi="Arial" w:cs="Arial"/>
                      <w:bCs/>
                      <w:sz w:val="20"/>
                      <w:szCs w:val="20"/>
                      <w:lang w:eastAsia="fr-FR"/>
                    </w:rPr>
                    <w:t>fusion amoureuse</w:t>
                  </w:r>
                  <w:r w:rsidRPr="00E70FA3">
                    <w:rPr>
                      <w:rFonts w:ascii="Arial" w:eastAsia="Times New Roman" w:hAnsi="Arial" w:cs="Arial"/>
                      <w:sz w:val="20"/>
                      <w:szCs w:val="20"/>
                      <w:lang w:eastAsia="fr-FR"/>
                    </w:rPr>
                    <w:t xml:space="preserve">, de la </w:t>
                  </w:r>
                  <w:r w:rsidRPr="00E70FA3">
                    <w:rPr>
                      <w:rFonts w:ascii="Arial" w:eastAsia="Times New Roman" w:hAnsi="Arial" w:cs="Arial"/>
                      <w:bCs/>
                      <w:sz w:val="20"/>
                      <w:szCs w:val="20"/>
                      <w:lang w:eastAsia="fr-FR"/>
                    </w:rPr>
                    <w:t>soumission</w:t>
                  </w:r>
                  <w:r w:rsidRPr="00E70FA3">
                    <w:rPr>
                      <w:rFonts w:ascii="Arial" w:eastAsia="Times New Roman" w:hAnsi="Arial" w:cs="Arial"/>
                      <w:sz w:val="20"/>
                      <w:szCs w:val="20"/>
                      <w:lang w:eastAsia="fr-FR"/>
                    </w:rPr>
                    <w:t xml:space="preserve">, traduit le besoin </w:t>
                  </w:r>
                  <w:r w:rsidRPr="00E70FA3">
                    <w:rPr>
                      <w:rFonts w:ascii="Arial" w:eastAsia="Times New Roman" w:hAnsi="Arial" w:cs="Arial"/>
                      <w:bCs/>
                      <w:sz w:val="20"/>
                      <w:szCs w:val="20"/>
                      <w:lang w:eastAsia="fr-FR"/>
                    </w:rPr>
                    <w:t>d’union</w:t>
                  </w:r>
                  <w:r w:rsidRPr="00E70FA3">
                    <w:rPr>
                      <w:rFonts w:ascii="Arial" w:eastAsia="Times New Roman" w:hAnsi="Arial" w:cs="Arial"/>
                      <w:sz w:val="20"/>
                      <w:szCs w:val="20"/>
                      <w:lang w:eastAsia="fr-FR"/>
                    </w:rPr>
                    <w:t xml:space="preserve">, </w:t>
                  </w:r>
                  <w:r w:rsidRPr="00E70FA3">
                    <w:rPr>
                      <w:rFonts w:ascii="Arial" w:eastAsia="Times New Roman" w:hAnsi="Arial" w:cs="Arial"/>
                      <w:bCs/>
                      <w:sz w:val="20"/>
                      <w:szCs w:val="20"/>
                      <w:lang w:eastAsia="fr-FR"/>
                    </w:rPr>
                    <w:t>d’approbation</w:t>
                  </w:r>
                  <w:r w:rsidRPr="00E70FA3">
                    <w:rPr>
                      <w:rFonts w:ascii="Arial" w:eastAsia="Times New Roman" w:hAnsi="Arial" w:cs="Arial"/>
                      <w:sz w:val="20"/>
                      <w:szCs w:val="20"/>
                      <w:lang w:eastAsia="fr-FR"/>
                    </w:rPr>
                    <w:t xml:space="preserve"> et d’identification à un être aimé. Mais ce rouge refroidi renferme quelque chose d’éteint et peut exprimer un étant d’esprit mélancolique, s’accompagnant du besoin de </w:t>
                  </w:r>
                  <w:r w:rsidRPr="00E70FA3">
                    <w:rPr>
                      <w:rFonts w:ascii="Arial" w:eastAsia="Times New Roman" w:hAnsi="Arial" w:cs="Arial"/>
                      <w:bCs/>
                      <w:sz w:val="20"/>
                      <w:szCs w:val="20"/>
                      <w:lang w:eastAsia="fr-FR"/>
                    </w:rPr>
                    <w:t>tendresse</w:t>
                  </w:r>
                  <w:r w:rsidRPr="00E70FA3">
                    <w:rPr>
                      <w:rFonts w:ascii="Arial" w:eastAsia="Times New Roman" w:hAnsi="Arial" w:cs="Arial"/>
                      <w:sz w:val="20"/>
                      <w:szCs w:val="20"/>
                      <w:lang w:eastAsia="fr-FR"/>
                    </w:rPr>
                    <w:t xml:space="preserve"> et de douceur.</w:t>
                  </w:r>
                </w:p>
              </w:tc>
            </w:tr>
            <w:tr w:rsidR="00E70FA3" w:rsidRPr="00AA32C9" w:rsidTr="00CF3E89">
              <w:trPr>
                <w:tblCellSpacing w:w="7" w:type="dxa"/>
              </w:trPr>
              <w:tc>
                <w:tcPr>
                  <w:tcW w:w="9036" w:type="dxa"/>
                  <w:vAlign w:val="center"/>
                  <w:hideMark/>
                </w:tcPr>
                <w:tbl>
                  <w:tblPr>
                    <w:tblW w:w="5000" w:type="pct"/>
                    <w:tblCellSpacing w:w="15" w:type="dxa"/>
                    <w:tblCellMar>
                      <w:top w:w="15" w:type="dxa"/>
                      <w:left w:w="15" w:type="dxa"/>
                      <w:bottom w:w="15" w:type="dxa"/>
                      <w:right w:w="15" w:type="dxa"/>
                    </w:tblCellMar>
                    <w:tblLook w:val="04A0"/>
                  </w:tblPr>
                  <w:tblGrid>
                    <w:gridCol w:w="3017"/>
                    <w:gridCol w:w="3002"/>
                    <w:gridCol w:w="3017"/>
                  </w:tblGrid>
                  <w:tr w:rsidR="00E70FA3" w:rsidRPr="00AA32C9" w:rsidTr="00CF3E89">
                    <w:trPr>
                      <w:tblCellSpacing w:w="15" w:type="dxa"/>
                    </w:trPr>
                    <w:tc>
                      <w:tcPr>
                        <w:tcW w:w="0" w:type="auto"/>
                        <w:vAlign w:val="center"/>
                        <w:hideMark/>
                      </w:tcPr>
                      <w:p w:rsidR="00E70FA3" w:rsidRPr="00AA32C9" w:rsidRDefault="00E70FA3" w:rsidP="00CF3E89">
                        <w:pPr>
                          <w:spacing w:after="0" w:line="240" w:lineRule="auto"/>
                          <w:jc w:val="both"/>
                          <w:rPr>
                            <w:rFonts w:ascii="Times New Roman" w:eastAsia="Times New Roman" w:hAnsi="Times New Roman" w:cs="Times New Roman"/>
                            <w:sz w:val="24"/>
                            <w:szCs w:val="24"/>
                            <w:lang w:eastAsia="fr-FR"/>
                          </w:rPr>
                        </w:pPr>
                      </w:p>
                    </w:tc>
                    <w:tc>
                      <w:tcPr>
                        <w:tcW w:w="0" w:type="auto"/>
                        <w:vAlign w:val="center"/>
                        <w:hideMark/>
                      </w:tcPr>
                      <w:p w:rsidR="00E70FA3" w:rsidRPr="00AA32C9" w:rsidRDefault="00E70FA3" w:rsidP="00CF3E89">
                        <w:pPr>
                          <w:spacing w:after="0" w:line="240" w:lineRule="auto"/>
                          <w:jc w:val="both"/>
                          <w:rPr>
                            <w:rFonts w:ascii="Times New Roman" w:eastAsia="Times New Roman" w:hAnsi="Times New Roman" w:cs="Times New Roman"/>
                            <w:sz w:val="24"/>
                            <w:szCs w:val="24"/>
                            <w:lang w:eastAsia="fr-FR"/>
                          </w:rPr>
                        </w:pPr>
                      </w:p>
                    </w:tc>
                    <w:tc>
                      <w:tcPr>
                        <w:tcW w:w="0" w:type="auto"/>
                        <w:vAlign w:val="center"/>
                        <w:hideMark/>
                      </w:tcPr>
                      <w:p w:rsidR="00E70FA3" w:rsidRPr="00AA32C9" w:rsidRDefault="00E70FA3" w:rsidP="00CF3E89">
                        <w:pPr>
                          <w:spacing w:after="0" w:line="240" w:lineRule="auto"/>
                          <w:jc w:val="both"/>
                          <w:rPr>
                            <w:rFonts w:ascii="Times New Roman" w:eastAsia="Times New Roman" w:hAnsi="Times New Roman" w:cs="Times New Roman"/>
                            <w:sz w:val="24"/>
                            <w:szCs w:val="24"/>
                            <w:lang w:eastAsia="fr-FR"/>
                          </w:rPr>
                        </w:pPr>
                      </w:p>
                    </w:tc>
                  </w:tr>
                </w:tbl>
                <w:p w:rsidR="00E70FA3" w:rsidRPr="00AA32C9" w:rsidRDefault="00E70FA3" w:rsidP="00CF3E89">
                  <w:pPr>
                    <w:spacing w:before="100" w:beforeAutospacing="1" w:after="100" w:afterAutospacing="1" w:line="240" w:lineRule="auto"/>
                    <w:jc w:val="both"/>
                    <w:rPr>
                      <w:rFonts w:ascii="Times New Roman" w:eastAsia="Times New Roman" w:hAnsi="Times New Roman" w:cs="Times New Roman"/>
                      <w:sz w:val="24"/>
                      <w:szCs w:val="24"/>
                      <w:lang w:eastAsia="fr-FR"/>
                    </w:rPr>
                  </w:pPr>
                </w:p>
              </w:tc>
            </w:tr>
            <w:tr w:rsidR="00E70FA3" w:rsidRPr="00AA32C9" w:rsidTr="00CF3E89">
              <w:trPr>
                <w:tblCellSpacing w:w="7" w:type="dxa"/>
              </w:trPr>
              <w:tc>
                <w:tcPr>
                  <w:tcW w:w="9036" w:type="dxa"/>
                  <w:vAlign w:val="center"/>
                  <w:hideMark/>
                </w:tcPr>
                <w:p w:rsidR="00E70FA3" w:rsidRPr="00AA32C9" w:rsidRDefault="00E70FA3" w:rsidP="00CF3E89">
                  <w:pPr>
                    <w:spacing w:after="0" w:line="240" w:lineRule="auto"/>
                    <w:jc w:val="both"/>
                    <w:rPr>
                      <w:rFonts w:ascii="Times New Roman" w:eastAsia="Times New Roman" w:hAnsi="Times New Roman" w:cs="Times New Roman"/>
                      <w:sz w:val="24"/>
                      <w:szCs w:val="24"/>
                      <w:lang w:eastAsia="fr-FR"/>
                    </w:rPr>
                  </w:pPr>
                </w:p>
              </w:tc>
            </w:tr>
            <w:tr w:rsidR="00E70FA3" w:rsidRPr="00AA32C9" w:rsidTr="00CF3E89">
              <w:trPr>
                <w:tblCellSpacing w:w="7" w:type="dxa"/>
              </w:trPr>
              <w:tc>
                <w:tcPr>
                  <w:tcW w:w="9036" w:type="dxa"/>
                  <w:vAlign w:val="center"/>
                  <w:hideMark/>
                </w:tcPr>
                <w:p w:rsidR="00E70FA3" w:rsidRPr="00AA32C9" w:rsidRDefault="00E70FA3" w:rsidP="00CF3E89">
                  <w:pPr>
                    <w:spacing w:after="0" w:line="240" w:lineRule="auto"/>
                    <w:jc w:val="both"/>
                    <w:rPr>
                      <w:rFonts w:ascii="Times New Roman" w:eastAsia="Times New Roman" w:hAnsi="Times New Roman" w:cs="Times New Roman"/>
                      <w:sz w:val="24"/>
                      <w:szCs w:val="24"/>
                      <w:lang w:eastAsia="fr-FR"/>
                    </w:rPr>
                  </w:pPr>
                </w:p>
              </w:tc>
            </w:tr>
            <w:tr w:rsidR="00E70FA3" w:rsidRPr="00AA32C9" w:rsidTr="00CF3E89">
              <w:trPr>
                <w:tblCellSpacing w:w="7" w:type="dxa"/>
              </w:trPr>
              <w:tc>
                <w:tcPr>
                  <w:tcW w:w="9036" w:type="dxa"/>
                  <w:vAlign w:val="center"/>
                  <w:hideMark/>
                </w:tcPr>
                <w:p w:rsidR="00E70FA3" w:rsidRPr="00AA32C9" w:rsidRDefault="00E70FA3" w:rsidP="00CF3E89">
                  <w:pPr>
                    <w:spacing w:after="0" w:line="240" w:lineRule="auto"/>
                    <w:jc w:val="both"/>
                    <w:rPr>
                      <w:rFonts w:ascii="Times New Roman" w:eastAsia="Times New Roman" w:hAnsi="Times New Roman" w:cs="Times New Roman"/>
                      <w:sz w:val="24"/>
                      <w:szCs w:val="24"/>
                      <w:lang w:eastAsia="fr-FR"/>
                    </w:rPr>
                  </w:pPr>
                </w:p>
              </w:tc>
            </w:tr>
            <w:tr w:rsidR="00E70FA3" w:rsidRPr="00AA32C9" w:rsidTr="00CF3E89">
              <w:trPr>
                <w:tblCellSpacing w:w="7" w:type="dxa"/>
              </w:trPr>
              <w:tc>
                <w:tcPr>
                  <w:tcW w:w="9036" w:type="dxa"/>
                  <w:vAlign w:val="center"/>
                  <w:hideMark/>
                </w:tcPr>
                <w:p w:rsidR="00E70FA3" w:rsidRPr="00AA32C9" w:rsidRDefault="00E70FA3" w:rsidP="00CF3E89">
                  <w:pPr>
                    <w:spacing w:after="0" w:line="240" w:lineRule="auto"/>
                    <w:jc w:val="both"/>
                    <w:rPr>
                      <w:rFonts w:ascii="Times New Roman" w:eastAsia="Times New Roman" w:hAnsi="Times New Roman" w:cs="Times New Roman"/>
                      <w:sz w:val="24"/>
                      <w:szCs w:val="24"/>
                      <w:lang w:eastAsia="fr-FR"/>
                    </w:rPr>
                  </w:pPr>
                </w:p>
              </w:tc>
            </w:tr>
            <w:tr w:rsidR="00E70FA3" w:rsidRPr="00AA32C9" w:rsidTr="00CF3E89">
              <w:trPr>
                <w:tblCellSpacing w:w="7" w:type="dxa"/>
              </w:trPr>
              <w:tc>
                <w:tcPr>
                  <w:tcW w:w="9036" w:type="dxa"/>
                  <w:vAlign w:val="center"/>
                  <w:hideMark/>
                </w:tcPr>
                <w:p w:rsidR="00E70FA3" w:rsidRPr="00AA32C9" w:rsidRDefault="00E70FA3" w:rsidP="00CF3E89">
                  <w:pPr>
                    <w:spacing w:after="0" w:line="240" w:lineRule="auto"/>
                    <w:jc w:val="both"/>
                    <w:rPr>
                      <w:rFonts w:ascii="Times New Roman" w:eastAsia="Times New Roman" w:hAnsi="Times New Roman" w:cs="Times New Roman"/>
                      <w:sz w:val="24"/>
                      <w:szCs w:val="24"/>
                      <w:lang w:eastAsia="fr-FR"/>
                    </w:rPr>
                  </w:pPr>
                </w:p>
              </w:tc>
            </w:tr>
          </w:tbl>
          <w:p w:rsidR="00E70FA3" w:rsidRPr="00AA32C9" w:rsidRDefault="00E70FA3" w:rsidP="00CF3E89">
            <w:pPr>
              <w:spacing w:before="100" w:beforeAutospacing="1" w:after="100" w:afterAutospacing="1" w:line="240" w:lineRule="auto"/>
              <w:rPr>
                <w:rFonts w:ascii="Times New Roman" w:eastAsia="Times New Roman" w:hAnsi="Times New Roman" w:cs="Times New Roman"/>
                <w:sz w:val="24"/>
                <w:szCs w:val="24"/>
                <w:lang w:eastAsia="fr-FR"/>
              </w:rPr>
            </w:pPr>
          </w:p>
        </w:tc>
      </w:tr>
    </w:tbl>
    <w:p w:rsidR="007A425F" w:rsidRDefault="007A425F"/>
    <w:sectPr w:rsidR="007A425F" w:rsidSect="007A425F">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6CB" w:rsidRDefault="003176CB" w:rsidP="00E70FA3">
      <w:pPr>
        <w:spacing w:after="0" w:line="240" w:lineRule="auto"/>
      </w:pPr>
      <w:r>
        <w:separator/>
      </w:r>
    </w:p>
  </w:endnote>
  <w:endnote w:type="continuationSeparator" w:id="0">
    <w:p w:rsidR="003176CB" w:rsidRDefault="003176CB" w:rsidP="00E70F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6CB" w:rsidRDefault="003176CB" w:rsidP="00E70FA3">
      <w:pPr>
        <w:spacing w:after="0" w:line="240" w:lineRule="auto"/>
      </w:pPr>
      <w:r>
        <w:separator/>
      </w:r>
    </w:p>
  </w:footnote>
  <w:footnote w:type="continuationSeparator" w:id="0">
    <w:p w:rsidR="003176CB" w:rsidRDefault="003176CB" w:rsidP="00E70F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919911"/>
      <w:docPartObj>
        <w:docPartGallery w:val="Page Numbers (Top of Page)"/>
        <w:docPartUnique/>
      </w:docPartObj>
    </w:sdtPr>
    <w:sdtContent>
      <w:p w:rsidR="00E70FA3" w:rsidRDefault="00E70FA3">
        <w:pPr>
          <w:pStyle w:val="En-tte"/>
          <w:jc w:val="center"/>
        </w:pPr>
        <w:fldSimple w:instr=" PAGE   \* MERGEFORMAT ">
          <w:r>
            <w:rPr>
              <w:noProof/>
            </w:rPr>
            <w:t>1</w:t>
          </w:r>
        </w:fldSimple>
      </w:p>
    </w:sdtContent>
  </w:sdt>
  <w:p w:rsidR="00E70FA3" w:rsidRDefault="00E70FA3">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8B2AA4"/>
    <w:multiLevelType w:val="multilevel"/>
    <w:tmpl w:val="1B060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E70FA3"/>
    <w:rsid w:val="003176CB"/>
    <w:rsid w:val="007A425F"/>
    <w:rsid w:val="00C8694E"/>
    <w:rsid w:val="00E70FA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FA3"/>
    <w:pPr>
      <w:jc w:val="left"/>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70FA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0FA3"/>
    <w:rPr>
      <w:rFonts w:ascii="Tahoma" w:hAnsi="Tahoma" w:cs="Tahoma"/>
      <w:sz w:val="16"/>
      <w:szCs w:val="16"/>
    </w:rPr>
  </w:style>
  <w:style w:type="paragraph" w:styleId="En-tte">
    <w:name w:val="header"/>
    <w:basedOn w:val="Normal"/>
    <w:link w:val="En-tteCar"/>
    <w:uiPriority w:val="99"/>
    <w:unhideWhenUsed/>
    <w:rsid w:val="00E70FA3"/>
    <w:pPr>
      <w:tabs>
        <w:tab w:val="center" w:pos="4536"/>
        <w:tab w:val="right" w:pos="9072"/>
      </w:tabs>
      <w:spacing w:after="0" w:line="240" w:lineRule="auto"/>
    </w:pPr>
  </w:style>
  <w:style w:type="character" w:customStyle="1" w:styleId="En-tteCar">
    <w:name w:val="En-tête Car"/>
    <w:basedOn w:val="Policepardfaut"/>
    <w:link w:val="En-tte"/>
    <w:uiPriority w:val="99"/>
    <w:rsid w:val="00E70FA3"/>
  </w:style>
  <w:style w:type="paragraph" w:styleId="Pieddepage">
    <w:name w:val="footer"/>
    <w:basedOn w:val="Normal"/>
    <w:link w:val="PieddepageCar"/>
    <w:uiPriority w:val="99"/>
    <w:semiHidden/>
    <w:unhideWhenUsed/>
    <w:rsid w:val="00E70FA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70FA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1810</Words>
  <Characters>9955</Characters>
  <Application>Microsoft Office Word</Application>
  <DocSecurity>0</DocSecurity>
  <Lines>82</Lines>
  <Paragraphs>23</Paragraphs>
  <ScaleCrop>false</ScaleCrop>
  <Company/>
  <LinksUpToDate>false</LinksUpToDate>
  <CharactersWithSpaces>11742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martial</dc:creator>
  <cp:lastModifiedBy>martial</cp:lastModifiedBy>
  <cp:revision>1</cp:revision>
  <dcterms:created xsi:type="dcterms:W3CDTF">2011-02-25T14:10:00Z</dcterms:created>
  <dcterms:modified xsi:type="dcterms:W3CDTF">2011-02-25T14:18:00Z</dcterms:modified>
</cp:coreProperties>
</file>