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A7A27" w:rsidRDefault="0045798F" w:rsidP="00711663">
      <w:pPr>
        <w:pStyle w:val="NoSpacing"/>
        <w:jc w:val="center"/>
        <w:outlineLvl w:val="0"/>
      </w:pPr>
      <w:r w:rsidRPr="0045798F">
        <w:rPr>
          <w:u w:val="single"/>
        </w:rPr>
        <w:t>Séance N°8</w:t>
      </w:r>
      <w:r>
        <w:t> : Les droits attachés à la personnalité juridique</w:t>
      </w:r>
    </w:p>
    <w:p w:rsidR="0045798F" w:rsidRDefault="0045798F" w:rsidP="0045798F">
      <w:pPr>
        <w:pStyle w:val="NoSpacing"/>
        <w:jc w:val="center"/>
      </w:pPr>
    </w:p>
    <w:p w:rsidR="0045798F" w:rsidRPr="0045798F" w:rsidRDefault="0045798F" w:rsidP="0045798F">
      <w:pPr>
        <w:pStyle w:val="NoSpacing"/>
        <w:rPr>
          <w:sz w:val="20"/>
          <w:szCs w:val="20"/>
        </w:rPr>
      </w:pPr>
    </w:p>
    <w:p w:rsidR="0045798F" w:rsidRPr="0045798F" w:rsidRDefault="0045798F" w:rsidP="00FD406E">
      <w:pPr>
        <w:pStyle w:val="NoSpacing"/>
        <w:numPr>
          <w:ilvl w:val="0"/>
          <w:numId w:val="1"/>
        </w:numPr>
        <w:jc w:val="both"/>
        <w:rPr>
          <w:b/>
          <w:sz w:val="20"/>
          <w:szCs w:val="20"/>
          <w:u w:val="single"/>
        </w:rPr>
      </w:pPr>
      <w:r w:rsidRPr="0045798F">
        <w:rPr>
          <w:sz w:val="20"/>
          <w:szCs w:val="20"/>
        </w:rPr>
        <w:t xml:space="preserve">Exposé : </w:t>
      </w:r>
      <w:r w:rsidRPr="0045798F">
        <w:rPr>
          <w:b/>
          <w:sz w:val="20"/>
          <w:szCs w:val="20"/>
          <w:u w:val="single"/>
        </w:rPr>
        <w:t>La protection du corps humain par le droit</w:t>
      </w:r>
    </w:p>
    <w:p w:rsidR="0045798F" w:rsidRPr="0045798F" w:rsidRDefault="0045798F" w:rsidP="00FD406E">
      <w:pPr>
        <w:pStyle w:val="NoSpacing"/>
        <w:jc w:val="both"/>
        <w:rPr>
          <w:b/>
          <w:sz w:val="20"/>
          <w:szCs w:val="20"/>
          <w:u w:val="single"/>
        </w:rPr>
      </w:pPr>
    </w:p>
    <w:p w:rsidR="0045798F" w:rsidRPr="0045798F" w:rsidRDefault="0045798F" w:rsidP="00FD406E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45798F">
        <w:rPr>
          <w:b/>
          <w:sz w:val="20"/>
          <w:szCs w:val="20"/>
          <w:u w:val="single"/>
        </w:rPr>
        <w:t>L’abus des droits et des libertés</w:t>
      </w:r>
      <w:r w:rsidRPr="0045798F">
        <w:rPr>
          <w:sz w:val="20"/>
          <w:szCs w:val="20"/>
        </w:rPr>
        <w:t> : exemple de la liberté d’expression – études d’arrêts de la Cour de Cassation</w:t>
      </w:r>
    </w:p>
    <w:p w:rsidR="0045798F" w:rsidRDefault="001F1EFB" w:rsidP="00FD406E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Lorsqu’on forme un pourvoit, c’est pour saisir la Cour de Cassation, dans lequel on argument (= moyen juridique).</w:t>
      </w:r>
    </w:p>
    <w:p w:rsidR="001F1EFB" w:rsidRDefault="001F1EFB" w:rsidP="00FD406E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La société ESSO fait grief (= reproche à la Cour d’appel d’avoir rejeté ses demandes et avoir donné raison à Greenpeace).</w:t>
      </w:r>
    </w:p>
    <w:p w:rsidR="00711663" w:rsidRDefault="00711663" w:rsidP="00FD406E">
      <w:pPr>
        <w:pStyle w:val="NoSpacing"/>
        <w:jc w:val="both"/>
        <w:rPr>
          <w:sz w:val="20"/>
          <w:szCs w:val="20"/>
        </w:rPr>
      </w:pPr>
    </w:p>
    <w:p w:rsidR="00711663" w:rsidRDefault="00711663" w:rsidP="00FD406E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ESSO reproche à Greenpeace :</w:t>
      </w:r>
    </w:p>
    <w:p w:rsidR="00711663" w:rsidRDefault="00711663" w:rsidP="00711663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de porter atteinte à la marque</w:t>
      </w:r>
    </w:p>
    <w:p w:rsidR="00711663" w:rsidRDefault="00711663" w:rsidP="00711663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liberté d’expression n’est pas illimité, elle comporte des devoirs et des responsabilités</w:t>
      </w:r>
    </w:p>
    <w:p w:rsidR="001F1EFB" w:rsidRDefault="001F1EFB" w:rsidP="000A7E9A">
      <w:pPr>
        <w:pStyle w:val="NoSpacing"/>
        <w:ind w:left="360"/>
        <w:jc w:val="both"/>
        <w:rPr>
          <w:sz w:val="20"/>
          <w:szCs w:val="20"/>
        </w:rPr>
      </w:pPr>
    </w:p>
    <w:p w:rsidR="001F1EFB" w:rsidRDefault="001F1EFB" w:rsidP="00FD406E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Les motifs de la décision de la Cour de Cassation (= raisons juridiques de la décision, donner tort ou raison).</w:t>
      </w:r>
    </w:p>
    <w:p w:rsidR="001F1EFB" w:rsidRDefault="001F1EFB" w:rsidP="00FD406E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Tout d’abord la Cour de Cassation rappelle les faits, elle constate et en tire une conclusion juridique, afin de pouvoir jugé si la critique est justifié ou </w:t>
      </w:r>
      <w:r w:rsidR="005D0102">
        <w:rPr>
          <w:sz w:val="20"/>
          <w:szCs w:val="20"/>
        </w:rPr>
        <w:t>punissable. Selon la Cour de Cassation, les modes de critiques de Greenpeace était donc proportionné et ne portait pas atteinte à ESSO. Ils soutiennent la protection de l’environnement et n’atteigne pas la liberté de penser d’autrui.</w:t>
      </w:r>
    </w:p>
    <w:p w:rsidR="00A07E05" w:rsidRDefault="00A07E05" w:rsidP="00FD406E">
      <w:pPr>
        <w:pStyle w:val="NoSpacing"/>
        <w:jc w:val="both"/>
        <w:rPr>
          <w:sz w:val="20"/>
          <w:szCs w:val="20"/>
        </w:rPr>
      </w:pPr>
    </w:p>
    <w:p w:rsidR="00A07E05" w:rsidRDefault="00A07E05" w:rsidP="00FD406E">
      <w:pPr>
        <w:pStyle w:val="NoSpacing"/>
        <w:jc w:val="both"/>
        <w:rPr>
          <w:sz w:val="20"/>
          <w:szCs w:val="20"/>
        </w:rPr>
      </w:pPr>
      <w:r w:rsidRPr="00A07E05">
        <w:rPr>
          <w:b/>
          <w:color w:val="800000"/>
          <w:sz w:val="20"/>
          <w:szCs w:val="20"/>
        </w:rPr>
        <w:t>Droit et liberté :</w:t>
      </w:r>
      <w:r>
        <w:rPr>
          <w:sz w:val="20"/>
          <w:szCs w:val="20"/>
        </w:rPr>
        <w:t xml:space="preserve"> critère de la justification et quels sont les moyens que l’ont se donne ?</w:t>
      </w:r>
    </w:p>
    <w:p w:rsidR="00D43586" w:rsidRDefault="00D43586" w:rsidP="00FD406E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Liberté doit être proportionnelle au but que l’on cherche à atteindre.</w:t>
      </w:r>
    </w:p>
    <w:p w:rsidR="005D0102" w:rsidRDefault="005D0102" w:rsidP="00FD406E">
      <w:pPr>
        <w:pStyle w:val="NoSpacing"/>
        <w:jc w:val="both"/>
        <w:rPr>
          <w:sz w:val="20"/>
          <w:szCs w:val="20"/>
        </w:rPr>
      </w:pPr>
    </w:p>
    <w:p w:rsidR="005D0102" w:rsidRDefault="005D0102" w:rsidP="00FD406E">
      <w:pPr>
        <w:pStyle w:val="NoSpacing"/>
        <w:jc w:val="both"/>
        <w:rPr>
          <w:sz w:val="20"/>
          <w:szCs w:val="20"/>
        </w:rPr>
      </w:pPr>
      <w:r w:rsidRPr="005D0102">
        <w:rPr>
          <w:i/>
          <w:sz w:val="20"/>
          <w:szCs w:val="20"/>
        </w:rPr>
        <w:t>Lorsque rejet du pourvoit :</w:t>
      </w:r>
    </w:p>
    <w:p w:rsidR="005D0102" w:rsidRDefault="005D0102" w:rsidP="00FD406E">
      <w:pPr>
        <w:pStyle w:val="NoSpacing"/>
        <w:ind w:left="709"/>
        <w:jc w:val="both"/>
        <w:rPr>
          <w:sz w:val="20"/>
          <w:szCs w:val="20"/>
        </w:rPr>
      </w:pPr>
      <w:r w:rsidRPr="005F4378">
        <w:rPr>
          <w:sz w:val="20"/>
          <w:szCs w:val="20"/>
          <w:u w:val="single"/>
        </w:rPr>
        <w:t>Les motifs</w:t>
      </w:r>
      <w:r>
        <w:rPr>
          <w:sz w:val="20"/>
          <w:szCs w:val="20"/>
        </w:rPr>
        <w:t> : « Mais attendu que … »</w:t>
      </w:r>
      <w:r w:rsidR="007F2BCD">
        <w:rPr>
          <w:sz w:val="20"/>
          <w:szCs w:val="20"/>
        </w:rPr>
        <w:t xml:space="preserve"> =&gt; on change la façon dont c’est rédigé dans l’arrêt</w:t>
      </w:r>
      <w:r w:rsidR="00655A8B">
        <w:rPr>
          <w:sz w:val="20"/>
          <w:szCs w:val="20"/>
        </w:rPr>
        <w:t>, la cour de cassation commence à donner ses arguments.</w:t>
      </w:r>
    </w:p>
    <w:p w:rsidR="005D0102" w:rsidRDefault="005D0102" w:rsidP="00FD406E">
      <w:pPr>
        <w:pStyle w:val="NoSpacing"/>
        <w:ind w:left="709"/>
        <w:jc w:val="both"/>
        <w:rPr>
          <w:sz w:val="20"/>
          <w:szCs w:val="20"/>
        </w:rPr>
      </w:pPr>
      <w:r w:rsidRPr="005F4378">
        <w:rPr>
          <w:sz w:val="20"/>
          <w:szCs w:val="20"/>
          <w:u w:val="single"/>
        </w:rPr>
        <w:t>Dispositifs</w:t>
      </w:r>
      <w:r>
        <w:rPr>
          <w:sz w:val="20"/>
          <w:szCs w:val="20"/>
        </w:rPr>
        <w:t xml:space="preserve"> : Casse et annule </w:t>
      </w:r>
    </w:p>
    <w:p w:rsidR="0045798F" w:rsidRDefault="0045798F" w:rsidP="00FD406E">
      <w:pPr>
        <w:pStyle w:val="NoSpacing"/>
        <w:jc w:val="both"/>
        <w:rPr>
          <w:sz w:val="20"/>
          <w:szCs w:val="20"/>
        </w:rPr>
      </w:pPr>
    </w:p>
    <w:p w:rsidR="005D0102" w:rsidRPr="0045798F" w:rsidRDefault="005D0102" w:rsidP="00FD406E">
      <w:pPr>
        <w:pStyle w:val="NoSpacing"/>
        <w:jc w:val="both"/>
        <w:rPr>
          <w:sz w:val="20"/>
          <w:szCs w:val="20"/>
        </w:rPr>
      </w:pPr>
    </w:p>
    <w:p w:rsidR="0045798F" w:rsidRDefault="0045798F" w:rsidP="00FD406E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45798F">
        <w:rPr>
          <w:b/>
          <w:sz w:val="20"/>
          <w:szCs w:val="20"/>
          <w:u w:val="single"/>
        </w:rPr>
        <w:t>La preuve des droits subjectifs</w:t>
      </w:r>
      <w:r w:rsidRPr="0045798F">
        <w:rPr>
          <w:sz w:val="20"/>
          <w:szCs w:val="20"/>
        </w:rPr>
        <w:t xml:space="preserve"> – Cas pratique :</w:t>
      </w:r>
    </w:p>
    <w:p w:rsidR="005F4378" w:rsidRDefault="005F4378" w:rsidP="00FD406E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Cadeaux, dons ou vente ? Pour déterminer qui a raison, il faut des preuves.</w:t>
      </w:r>
    </w:p>
    <w:p w:rsidR="005F4378" w:rsidRDefault="005F4378" w:rsidP="00FD406E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Josiane cherche à prouver l’existence d’un </w:t>
      </w:r>
      <w:r w:rsidRPr="005F4378">
        <w:rPr>
          <w:b/>
          <w:sz w:val="20"/>
          <w:szCs w:val="20"/>
        </w:rPr>
        <w:t>contrat de vente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(donc existence d’un </w:t>
      </w:r>
      <w:r w:rsidRPr="005F4378">
        <w:rPr>
          <w:sz w:val="20"/>
          <w:szCs w:val="20"/>
          <w:u w:val="single"/>
        </w:rPr>
        <w:t>acte juridique</w:t>
      </w:r>
      <w:r>
        <w:rPr>
          <w:sz w:val="20"/>
          <w:szCs w:val="20"/>
        </w:rPr>
        <w:t xml:space="preserve">), et d’un autre coté sa petite fille cherche à prouver que c’était un </w:t>
      </w:r>
      <w:r w:rsidRPr="005F4378">
        <w:rPr>
          <w:b/>
          <w:sz w:val="20"/>
          <w:szCs w:val="20"/>
        </w:rPr>
        <w:t>cadeau</w:t>
      </w:r>
      <w:r>
        <w:rPr>
          <w:sz w:val="20"/>
          <w:szCs w:val="20"/>
        </w:rPr>
        <w:t xml:space="preserve">. </w:t>
      </w:r>
    </w:p>
    <w:p w:rsidR="00FC0CA5" w:rsidRDefault="00FC0CA5" w:rsidP="00FD406E">
      <w:pPr>
        <w:pStyle w:val="NoSpacing"/>
        <w:jc w:val="both"/>
        <w:rPr>
          <w:sz w:val="20"/>
          <w:szCs w:val="20"/>
        </w:rPr>
      </w:pPr>
    </w:p>
    <w:p w:rsidR="00FC0CA5" w:rsidRPr="00F452B8" w:rsidRDefault="00FC0CA5" w:rsidP="00711663">
      <w:pPr>
        <w:pStyle w:val="NoSpacing"/>
        <w:jc w:val="both"/>
        <w:outlineLvl w:val="0"/>
        <w:rPr>
          <w:sz w:val="20"/>
          <w:szCs w:val="20"/>
          <w:u w:val="single"/>
        </w:rPr>
      </w:pPr>
      <w:r w:rsidRPr="00F452B8">
        <w:rPr>
          <w:sz w:val="20"/>
          <w:szCs w:val="20"/>
          <w:u w:val="single"/>
        </w:rPr>
        <w:t xml:space="preserve">Comment se répartie la charge de la preuve dans un procès ? </w:t>
      </w:r>
    </w:p>
    <w:p w:rsidR="00FC0CA5" w:rsidRDefault="00F452B8" w:rsidP="00FD406E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Le demandeur doit commencer à prouver, c’est sur lui que pèse la charge de la preuve. Ici c’est Josiane car c’est elle qui réclame la charge de la preuve.</w:t>
      </w:r>
    </w:p>
    <w:p w:rsidR="00F452B8" w:rsidRDefault="00F452B8" w:rsidP="00FD406E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Ici elle veut prouver l’existence d’un contrat de vente de 2 000€, la preuve écrite est donc nécessaire (montant supérieur à 1 500€), sinon demande irrecevable. Il existe deux forme d’écrits possibles : l‘</w:t>
      </w:r>
      <w:r w:rsidRPr="00F452B8">
        <w:rPr>
          <w:b/>
          <w:sz w:val="20"/>
          <w:szCs w:val="20"/>
        </w:rPr>
        <w:t>acte authentique</w:t>
      </w:r>
      <w:r>
        <w:rPr>
          <w:sz w:val="20"/>
          <w:szCs w:val="20"/>
        </w:rPr>
        <w:t xml:space="preserve"> (devant un officier public : le notaire / au défendeur de prouver que cet acte est un faux) et </w:t>
      </w:r>
      <w:r w:rsidRPr="00F452B8">
        <w:rPr>
          <w:b/>
          <w:sz w:val="20"/>
          <w:szCs w:val="20"/>
        </w:rPr>
        <w:t>l’acte sur s</w:t>
      </w:r>
      <w:r>
        <w:rPr>
          <w:b/>
          <w:sz w:val="20"/>
          <w:szCs w:val="20"/>
        </w:rPr>
        <w:t>eing</w:t>
      </w:r>
      <w:r w:rsidRPr="00F452B8">
        <w:rPr>
          <w:b/>
          <w:sz w:val="20"/>
          <w:szCs w:val="20"/>
        </w:rPr>
        <w:t xml:space="preserve"> privé</w:t>
      </w:r>
      <w:r>
        <w:rPr>
          <w:sz w:val="20"/>
          <w:szCs w:val="20"/>
        </w:rPr>
        <w:t xml:space="preserve"> (confidentiel / au demandeur (celui qui invoque l’écrit) de prouver qu’il est vrai).</w:t>
      </w:r>
    </w:p>
    <w:p w:rsidR="00F452B8" w:rsidRDefault="00F452B8" w:rsidP="00FD406E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On peut prouver l’existence du contrat de vente grâce à ces 2 types d’écrits qui doivent établir cette vente de manière claire, explicite et certaine.</w:t>
      </w:r>
    </w:p>
    <w:p w:rsidR="00F452B8" w:rsidRDefault="00F452B8" w:rsidP="00FD406E">
      <w:pPr>
        <w:pStyle w:val="NoSpacing"/>
        <w:jc w:val="both"/>
        <w:rPr>
          <w:sz w:val="20"/>
          <w:szCs w:val="20"/>
        </w:rPr>
      </w:pPr>
    </w:p>
    <w:p w:rsidR="00F452B8" w:rsidRDefault="00F452B8" w:rsidP="00FD406E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Josiane n’a pas la preuve écrite exigé par la loi, qui établit la vente de manière certaine. A première vue sa demande pourrait être irrecevable. Cependant plusieurs éléments peuvent écarter ce besoin de l’écrit (exceptions existes).</w:t>
      </w:r>
    </w:p>
    <w:p w:rsidR="00F452B8" w:rsidRDefault="00F452B8" w:rsidP="00FD406E">
      <w:pPr>
        <w:pStyle w:val="NoSpacing"/>
        <w:jc w:val="both"/>
        <w:rPr>
          <w:sz w:val="20"/>
          <w:szCs w:val="20"/>
        </w:rPr>
      </w:pPr>
      <w:r w:rsidRPr="00EB3B36">
        <w:rPr>
          <w:b/>
          <w:sz w:val="20"/>
          <w:szCs w:val="20"/>
        </w:rPr>
        <w:t>1ere exception </w:t>
      </w:r>
      <w:r>
        <w:rPr>
          <w:sz w:val="20"/>
          <w:szCs w:val="20"/>
        </w:rPr>
        <w:t xml:space="preserve">: commencement de preuve écrite, le demandeur peut l’utiliser et le compléter par des témoignages. Ici y a-t-il vraiment un </w:t>
      </w:r>
      <w:r w:rsidRPr="00EB3B36">
        <w:rPr>
          <w:b/>
          <w:color w:val="943634" w:themeColor="accent2" w:themeShade="BF"/>
          <w:sz w:val="20"/>
          <w:szCs w:val="20"/>
        </w:rPr>
        <w:t>commencement de preuve écrite</w:t>
      </w:r>
      <w:r>
        <w:rPr>
          <w:sz w:val="20"/>
          <w:szCs w:val="20"/>
        </w:rPr>
        <w:t xml:space="preserve"> ? </w:t>
      </w:r>
      <w:r w:rsidR="00EB3B36">
        <w:rPr>
          <w:sz w:val="20"/>
          <w:szCs w:val="20"/>
        </w:rPr>
        <w:t>Il</w:t>
      </w:r>
      <w:r>
        <w:rPr>
          <w:sz w:val="20"/>
          <w:szCs w:val="20"/>
        </w:rPr>
        <w:t xml:space="preserve"> faut qu’il provienne de la personne de qui on veut prouver, et il faut que l’écrit rende l’acte vraisemblable.</w:t>
      </w:r>
      <w:r w:rsidR="00EB3B36">
        <w:rPr>
          <w:sz w:val="20"/>
          <w:szCs w:val="20"/>
        </w:rPr>
        <w:t xml:space="preserve"> Ici l’écrit n’est pas le contrat de vente, mais il peut faire office de commencement de preuve écrite ; le</w:t>
      </w:r>
      <w:r w:rsidR="00EB3B36" w:rsidRPr="00EB3B36">
        <w:rPr>
          <w:sz w:val="20"/>
          <w:szCs w:val="20"/>
          <w:u w:val="single"/>
        </w:rPr>
        <w:t xml:space="preserve"> chèque </w:t>
      </w:r>
      <w:r w:rsidR="00EB3B36">
        <w:rPr>
          <w:sz w:val="20"/>
          <w:szCs w:val="20"/>
        </w:rPr>
        <w:t>qui vient de Manon, et rend vraisemblable la vente</w:t>
      </w:r>
      <w:r w:rsidR="008C746C">
        <w:rPr>
          <w:sz w:val="20"/>
          <w:szCs w:val="20"/>
        </w:rPr>
        <w:t>, car il est signé par Manon et le montant rend possible la vente</w:t>
      </w:r>
      <w:r w:rsidR="00EB3B36">
        <w:rPr>
          <w:sz w:val="20"/>
          <w:szCs w:val="20"/>
        </w:rPr>
        <w:t>.</w:t>
      </w:r>
      <w:r w:rsidR="007C1A0A">
        <w:rPr>
          <w:sz w:val="20"/>
          <w:szCs w:val="20"/>
        </w:rPr>
        <w:t xml:space="preserve"> </w:t>
      </w:r>
      <w:r w:rsidR="00D03922">
        <w:rPr>
          <w:sz w:val="20"/>
          <w:szCs w:val="20"/>
        </w:rPr>
        <w:t>(Il faut que la preuve face en sorte que le fait allégué soit reconnue comme vraisemblable</w:t>
      </w:r>
      <w:r w:rsidR="008C746C">
        <w:rPr>
          <w:sz w:val="20"/>
          <w:szCs w:val="20"/>
        </w:rPr>
        <w:t>).</w:t>
      </w:r>
    </w:p>
    <w:p w:rsidR="00EB3B36" w:rsidRDefault="00EB3B36" w:rsidP="00FD406E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Elles font partie de la même famille, donc </w:t>
      </w:r>
      <w:r w:rsidRPr="00EB3B36">
        <w:rPr>
          <w:b/>
          <w:color w:val="943634" w:themeColor="accent2" w:themeShade="BF"/>
          <w:sz w:val="20"/>
          <w:szCs w:val="20"/>
        </w:rPr>
        <w:t>impossibilité morale</w:t>
      </w:r>
      <w:r>
        <w:rPr>
          <w:sz w:val="20"/>
          <w:szCs w:val="20"/>
        </w:rPr>
        <w:t xml:space="preserve"> de se procurer un écrit. Josiane peut ici l’invoquer.</w:t>
      </w:r>
    </w:p>
    <w:p w:rsidR="00EB3B36" w:rsidRDefault="00EB3B36" w:rsidP="00FD406E">
      <w:pPr>
        <w:pStyle w:val="NoSpacing"/>
        <w:jc w:val="both"/>
        <w:rPr>
          <w:sz w:val="20"/>
          <w:szCs w:val="20"/>
        </w:rPr>
      </w:pPr>
    </w:p>
    <w:p w:rsidR="00EB3B36" w:rsidRDefault="00EB3B36" w:rsidP="00FD406E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Josiane pourra donc utiliser tous les modes de preuve qu’elle a se disposition, et sa demande ne sera pas rejetée uniquement sur le manque de contrat de vente écrit.</w:t>
      </w:r>
    </w:p>
    <w:p w:rsidR="00F452B8" w:rsidRDefault="00EB3B36" w:rsidP="00FD406E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La petite fille devra donc se justifier, d’où vient ce chèque de 800€ ? Si elle n’arrive pas à se justifier, cela donnera raison à Josiane. Est-ce que Manon, a, elle, un écrit qui ét</w:t>
      </w:r>
      <w:r w:rsidR="00FD406E">
        <w:rPr>
          <w:sz w:val="20"/>
          <w:szCs w:val="20"/>
        </w:rPr>
        <w:t>ablit le don de manière certaine ? La lettre ne veut pas dire que l’acte va être établit de manière certaine ; de plus cette lettre est une lettre d’ordre privée, elle peut être utilisée comme mode de preuve à condition qu’elle ne soit pas confidentielle. Il ne faut pas déroger au principe de l’atteinte à la vie privée.</w:t>
      </w:r>
    </w:p>
    <w:p w:rsidR="00B419D1" w:rsidRDefault="00FD406E" w:rsidP="00FD406E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Ici ce n’est pas vraiment licites, car cette lettre est destinée à la mère de Manon et pas directement à elle, elle l’a elle-même prie dans le courrier privé de qqn d’autre</w:t>
      </w:r>
      <w:r w:rsidR="00692C76">
        <w:rPr>
          <w:sz w:val="20"/>
          <w:szCs w:val="20"/>
        </w:rPr>
        <w:t xml:space="preserve"> </w:t>
      </w:r>
      <w:r w:rsidR="00692C76">
        <w:rPr>
          <w:sz w:val="20"/>
          <w:szCs w:val="20"/>
        </w:rPr>
        <w:sym w:font="Symbol" w:char="F0AE"/>
      </w:r>
      <w:r w:rsidR="00692C76">
        <w:rPr>
          <w:sz w:val="20"/>
          <w:szCs w:val="20"/>
        </w:rPr>
        <w:t xml:space="preserve"> atteinte au secret de correspondance</w:t>
      </w:r>
      <w:r>
        <w:rPr>
          <w:sz w:val="20"/>
          <w:szCs w:val="20"/>
        </w:rPr>
        <w:t xml:space="preserve">. </w:t>
      </w:r>
      <w:r w:rsidR="00B419D1">
        <w:rPr>
          <w:sz w:val="20"/>
          <w:szCs w:val="20"/>
        </w:rPr>
        <w:t>Dans tous les cas cette lettre n’établit pas de manière précise qu’il y a eu vente, ou cadeau.</w:t>
      </w:r>
    </w:p>
    <w:p w:rsidR="00B419D1" w:rsidRDefault="00B419D1" w:rsidP="00FD406E">
      <w:pPr>
        <w:pStyle w:val="NoSpacing"/>
        <w:jc w:val="both"/>
        <w:rPr>
          <w:sz w:val="20"/>
          <w:szCs w:val="20"/>
        </w:rPr>
      </w:pPr>
    </w:p>
    <w:p w:rsidR="00B419D1" w:rsidRDefault="00B419D1" w:rsidP="00FD406E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sym w:font="Symbol" w:char="F0DE"/>
      </w:r>
      <w:r>
        <w:rPr>
          <w:sz w:val="20"/>
          <w:szCs w:val="20"/>
        </w:rPr>
        <w:t xml:space="preserve"> Seul la justification de Manon sur les 800€ donner lieu au procès</w:t>
      </w:r>
    </w:p>
    <w:sectPr w:rsidR="00B419D1" w:rsidSect="00457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7F84396"/>
    <w:multiLevelType w:val="hybridMultilevel"/>
    <w:tmpl w:val="E01041EC"/>
    <w:lvl w:ilvl="0" w:tplc="CF16FE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F0412"/>
    <w:multiLevelType w:val="hybridMultilevel"/>
    <w:tmpl w:val="C95A288E"/>
    <w:lvl w:ilvl="0" w:tplc="2A043B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compat/>
  <w:rsids>
    <w:rsidRoot w:val="0045798F"/>
    <w:rsid w:val="000578FE"/>
    <w:rsid w:val="000A7E9A"/>
    <w:rsid w:val="001F1EFB"/>
    <w:rsid w:val="0035645B"/>
    <w:rsid w:val="003B603E"/>
    <w:rsid w:val="00427691"/>
    <w:rsid w:val="0045798F"/>
    <w:rsid w:val="004D4AAA"/>
    <w:rsid w:val="004D766E"/>
    <w:rsid w:val="005D0102"/>
    <w:rsid w:val="005F4378"/>
    <w:rsid w:val="00655A8B"/>
    <w:rsid w:val="00692C76"/>
    <w:rsid w:val="006A1234"/>
    <w:rsid w:val="00711663"/>
    <w:rsid w:val="007C1A0A"/>
    <w:rsid w:val="007F2BCD"/>
    <w:rsid w:val="008C746C"/>
    <w:rsid w:val="00933ED8"/>
    <w:rsid w:val="00A07E05"/>
    <w:rsid w:val="00B419D1"/>
    <w:rsid w:val="00D03922"/>
    <w:rsid w:val="00D43586"/>
    <w:rsid w:val="00DA7A27"/>
    <w:rsid w:val="00DB706D"/>
    <w:rsid w:val="00E05B56"/>
    <w:rsid w:val="00EB3B36"/>
    <w:rsid w:val="00EE219A"/>
    <w:rsid w:val="00F452B8"/>
    <w:rsid w:val="00FC0CA5"/>
    <w:rsid w:val="00FD406E"/>
    <w:rsid w:val="00FE68CC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A2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Cha">
    <w:name w:val="Cha"/>
    <w:basedOn w:val="NoSpacing"/>
    <w:next w:val="NoSpacing"/>
    <w:link w:val="ChaCar"/>
    <w:autoRedefine/>
    <w:qFormat/>
    <w:rsid w:val="000578FE"/>
    <w:pPr>
      <w:jc w:val="both"/>
    </w:pPr>
    <w:rPr>
      <w:rFonts w:asciiTheme="majorHAnsi" w:hAnsiTheme="majorHAnsi"/>
      <w:sz w:val="18"/>
      <w:szCs w:val="18"/>
    </w:rPr>
  </w:style>
  <w:style w:type="paragraph" w:styleId="NoSpacing">
    <w:name w:val="No Spacing"/>
    <w:uiPriority w:val="1"/>
    <w:qFormat/>
    <w:rsid w:val="0035645B"/>
    <w:pPr>
      <w:spacing w:after="0" w:line="240" w:lineRule="auto"/>
    </w:pPr>
  </w:style>
  <w:style w:type="character" w:customStyle="1" w:styleId="ChaCar">
    <w:name w:val="Cha Car"/>
    <w:basedOn w:val="DefaultParagraphFont"/>
    <w:link w:val="Cha"/>
    <w:rsid w:val="000578FE"/>
    <w:rPr>
      <w:rFonts w:asciiTheme="majorHAnsi" w:hAnsiTheme="majorHAnsi"/>
      <w:sz w:val="18"/>
      <w:szCs w:val="18"/>
    </w:rPr>
  </w:style>
  <w:style w:type="paragraph" w:styleId="ListParagraph">
    <w:name w:val="List Paragraph"/>
    <w:basedOn w:val="Normal"/>
    <w:uiPriority w:val="34"/>
    <w:qFormat/>
    <w:rsid w:val="004579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3674A-E8A1-4396-A222-9FCDBFD93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795</Words>
  <Characters>3794</Characters>
  <Application>Microsoft Word 12.0.0</Application>
  <DocSecurity>0</DocSecurity>
  <Lines>70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4566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charline</dc:creator>
  <cp:keywords/>
  <dc:description/>
  <cp:lastModifiedBy>GEA Nantes</cp:lastModifiedBy>
  <cp:revision>19</cp:revision>
  <dcterms:created xsi:type="dcterms:W3CDTF">2009-12-08T08:26:00Z</dcterms:created>
  <dcterms:modified xsi:type="dcterms:W3CDTF">2012-03-10T17:38:00Z</dcterms:modified>
  <cp:category/>
</cp:coreProperties>
</file>