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44" w:rsidRDefault="00A21381" w:rsidP="00A21381">
      <w:pPr>
        <w:pStyle w:val="Titre"/>
        <w:rPr>
          <w:lang w:val="fr-FR"/>
        </w:rPr>
      </w:pPr>
      <w:r>
        <w:rPr>
          <w:lang w:val="fr-FR"/>
        </w:rPr>
        <w:t>L’analyse du compte de résultat</w:t>
      </w:r>
    </w:p>
    <w:sdt>
      <w:sdtPr>
        <w:rPr>
          <w:rFonts w:asciiTheme="minorHAnsi" w:eastAsiaTheme="minorHAnsi" w:hAnsiTheme="minorHAnsi" w:cstheme="minorBidi"/>
          <w:b w:val="0"/>
          <w:bCs w:val="0"/>
          <w:color w:val="auto"/>
          <w:sz w:val="22"/>
          <w:szCs w:val="22"/>
        </w:rPr>
        <w:id w:val="97368615"/>
        <w:docPartObj>
          <w:docPartGallery w:val="Table of Contents"/>
          <w:docPartUnique/>
        </w:docPartObj>
      </w:sdtPr>
      <w:sdtEndPr>
        <w:rPr>
          <w:lang w:val="fr-FR"/>
        </w:rPr>
      </w:sdtEndPr>
      <w:sdtContent>
        <w:p w:rsidR="009978BA" w:rsidRDefault="009978BA">
          <w:pPr>
            <w:pStyle w:val="En-ttedetabledesmatires"/>
          </w:pPr>
          <w:r>
            <w:t>Sommaire</w:t>
          </w:r>
        </w:p>
        <w:p w:rsidR="009978BA" w:rsidRDefault="00C4742C">
          <w:pPr>
            <w:pStyle w:val="TM1"/>
            <w:tabs>
              <w:tab w:val="left" w:pos="880"/>
              <w:tab w:val="right" w:leader="dot" w:pos="9062"/>
            </w:tabs>
            <w:rPr>
              <w:rFonts w:eastAsiaTheme="minorEastAsia"/>
              <w:noProof/>
              <w:lang w:val="fr-FR" w:eastAsia="fr-FR" w:bidi="ar-SA"/>
            </w:rPr>
          </w:pPr>
          <w:r>
            <w:rPr>
              <w:lang w:val="fr-FR"/>
            </w:rPr>
            <w:fldChar w:fldCharType="begin"/>
          </w:r>
          <w:r w:rsidR="009978BA">
            <w:rPr>
              <w:lang w:val="fr-FR"/>
            </w:rPr>
            <w:instrText xml:space="preserve"> TOC \o "1-3" \h \z \u </w:instrText>
          </w:r>
          <w:r>
            <w:rPr>
              <w:lang w:val="fr-FR"/>
            </w:rPr>
            <w:fldChar w:fldCharType="separate"/>
          </w:r>
          <w:hyperlink w:anchor="_Toc194136960" w:history="1">
            <w:r w:rsidR="009978BA" w:rsidRPr="000A70A0">
              <w:rPr>
                <w:rStyle w:val="Lienhypertexte"/>
                <w:noProof/>
                <w:lang w:val="fr-FR"/>
              </w:rPr>
              <w:t>1</w:t>
            </w:r>
            <w:r w:rsidR="009978BA">
              <w:rPr>
                <w:rFonts w:eastAsiaTheme="minorEastAsia"/>
                <w:noProof/>
                <w:lang w:val="fr-FR" w:eastAsia="fr-FR" w:bidi="ar-SA"/>
              </w:rPr>
              <w:tab/>
            </w:r>
            <w:r w:rsidR="009978BA" w:rsidRPr="000A70A0">
              <w:rPr>
                <w:rStyle w:val="Lienhypertexte"/>
                <w:noProof/>
                <w:lang w:val="fr-FR"/>
              </w:rPr>
              <w:t>Présentation du compte de résultat</w:t>
            </w:r>
            <w:r w:rsidR="009978BA">
              <w:rPr>
                <w:noProof/>
                <w:webHidden/>
              </w:rPr>
              <w:tab/>
            </w:r>
            <w:r>
              <w:rPr>
                <w:noProof/>
                <w:webHidden/>
              </w:rPr>
              <w:fldChar w:fldCharType="begin"/>
            </w:r>
            <w:r w:rsidR="009978BA">
              <w:rPr>
                <w:noProof/>
                <w:webHidden/>
              </w:rPr>
              <w:instrText xml:space="preserve"> PAGEREF _Toc194136960 \h </w:instrText>
            </w:r>
            <w:r>
              <w:rPr>
                <w:noProof/>
                <w:webHidden/>
              </w:rPr>
            </w:r>
            <w:r>
              <w:rPr>
                <w:noProof/>
                <w:webHidden/>
              </w:rPr>
              <w:fldChar w:fldCharType="separate"/>
            </w:r>
            <w:r w:rsidR="0054010B">
              <w:rPr>
                <w:noProof/>
                <w:webHidden/>
              </w:rPr>
              <w:t>2</w:t>
            </w:r>
            <w:r>
              <w:rPr>
                <w:noProof/>
                <w:webHidden/>
              </w:rPr>
              <w:fldChar w:fldCharType="end"/>
            </w:r>
          </w:hyperlink>
        </w:p>
        <w:p w:rsidR="009978BA" w:rsidRDefault="00C4742C">
          <w:pPr>
            <w:pStyle w:val="TM1"/>
            <w:tabs>
              <w:tab w:val="left" w:pos="880"/>
              <w:tab w:val="right" w:leader="dot" w:pos="9062"/>
            </w:tabs>
            <w:rPr>
              <w:rFonts w:eastAsiaTheme="minorEastAsia"/>
              <w:noProof/>
              <w:lang w:val="fr-FR" w:eastAsia="fr-FR" w:bidi="ar-SA"/>
            </w:rPr>
          </w:pPr>
          <w:hyperlink w:anchor="_Toc194136961" w:history="1">
            <w:r w:rsidR="009978BA" w:rsidRPr="000A70A0">
              <w:rPr>
                <w:rStyle w:val="Lienhypertexte"/>
                <w:noProof/>
                <w:lang w:val="fr-FR"/>
              </w:rPr>
              <w:t>2</w:t>
            </w:r>
            <w:r w:rsidR="009978BA">
              <w:rPr>
                <w:rFonts w:eastAsiaTheme="minorEastAsia"/>
                <w:noProof/>
                <w:lang w:val="fr-FR" w:eastAsia="fr-FR" w:bidi="ar-SA"/>
              </w:rPr>
              <w:tab/>
            </w:r>
            <w:r w:rsidR="009978BA" w:rsidRPr="000A70A0">
              <w:rPr>
                <w:rStyle w:val="Lienhypertexte"/>
                <w:noProof/>
                <w:lang w:val="fr-FR"/>
              </w:rPr>
              <w:t>Les retraitements du compte de résultat</w:t>
            </w:r>
            <w:r w:rsidR="009978BA">
              <w:rPr>
                <w:noProof/>
                <w:webHidden/>
              </w:rPr>
              <w:tab/>
            </w:r>
            <w:r>
              <w:rPr>
                <w:noProof/>
                <w:webHidden/>
              </w:rPr>
              <w:fldChar w:fldCharType="begin"/>
            </w:r>
            <w:r w:rsidR="009978BA">
              <w:rPr>
                <w:noProof/>
                <w:webHidden/>
              </w:rPr>
              <w:instrText xml:space="preserve"> PAGEREF _Toc194136961 \h </w:instrText>
            </w:r>
            <w:r>
              <w:rPr>
                <w:noProof/>
                <w:webHidden/>
              </w:rPr>
            </w:r>
            <w:r>
              <w:rPr>
                <w:noProof/>
                <w:webHidden/>
              </w:rPr>
              <w:fldChar w:fldCharType="separate"/>
            </w:r>
            <w:r w:rsidR="0054010B">
              <w:rPr>
                <w:noProof/>
                <w:webHidden/>
              </w:rPr>
              <w:t>2</w:t>
            </w:r>
            <w:r>
              <w:rPr>
                <w:noProof/>
                <w:webHidden/>
              </w:rPr>
              <w:fldChar w:fldCharType="end"/>
            </w:r>
          </w:hyperlink>
        </w:p>
        <w:p w:rsidR="009978BA" w:rsidRDefault="00C4742C">
          <w:pPr>
            <w:pStyle w:val="TM2"/>
            <w:tabs>
              <w:tab w:val="left" w:pos="1100"/>
              <w:tab w:val="right" w:leader="dot" w:pos="9062"/>
            </w:tabs>
            <w:rPr>
              <w:rFonts w:eastAsiaTheme="minorEastAsia"/>
              <w:noProof/>
              <w:lang w:val="fr-FR" w:eastAsia="fr-FR" w:bidi="ar-SA"/>
            </w:rPr>
          </w:pPr>
          <w:hyperlink w:anchor="_Toc194136962" w:history="1">
            <w:r w:rsidR="009978BA" w:rsidRPr="000A70A0">
              <w:rPr>
                <w:rStyle w:val="Lienhypertexte"/>
                <w:noProof/>
                <w:lang w:val="fr-FR"/>
              </w:rPr>
              <w:t>2.1</w:t>
            </w:r>
            <w:r w:rsidR="009978BA">
              <w:rPr>
                <w:rFonts w:eastAsiaTheme="minorEastAsia"/>
                <w:noProof/>
                <w:lang w:val="fr-FR" w:eastAsia="fr-FR" w:bidi="ar-SA"/>
              </w:rPr>
              <w:tab/>
            </w:r>
            <w:r w:rsidR="009978BA" w:rsidRPr="000A70A0">
              <w:rPr>
                <w:rStyle w:val="Lienhypertexte"/>
                <w:noProof/>
                <w:lang w:val="fr-FR"/>
              </w:rPr>
              <w:t>La marge commerciale</w:t>
            </w:r>
            <w:r w:rsidR="009978BA">
              <w:rPr>
                <w:noProof/>
                <w:webHidden/>
              </w:rPr>
              <w:tab/>
            </w:r>
            <w:r>
              <w:rPr>
                <w:noProof/>
                <w:webHidden/>
              </w:rPr>
              <w:fldChar w:fldCharType="begin"/>
            </w:r>
            <w:r w:rsidR="009978BA">
              <w:rPr>
                <w:noProof/>
                <w:webHidden/>
              </w:rPr>
              <w:instrText xml:space="preserve"> PAGEREF _Toc194136962 \h </w:instrText>
            </w:r>
            <w:r>
              <w:rPr>
                <w:noProof/>
                <w:webHidden/>
              </w:rPr>
            </w:r>
            <w:r>
              <w:rPr>
                <w:noProof/>
                <w:webHidden/>
              </w:rPr>
              <w:fldChar w:fldCharType="separate"/>
            </w:r>
            <w:r w:rsidR="0054010B">
              <w:rPr>
                <w:noProof/>
                <w:webHidden/>
              </w:rPr>
              <w:t>2</w:t>
            </w:r>
            <w:r>
              <w:rPr>
                <w:noProof/>
                <w:webHidden/>
              </w:rPr>
              <w:fldChar w:fldCharType="end"/>
            </w:r>
          </w:hyperlink>
        </w:p>
        <w:p w:rsidR="009978BA" w:rsidRDefault="00C4742C">
          <w:pPr>
            <w:pStyle w:val="TM2"/>
            <w:tabs>
              <w:tab w:val="left" w:pos="1100"/>
              <w:tab w:val="right" w:leader="dot" w:pos="9062"/>
            </w:tabs>
            <w:rPr>
              <w:rFonts w:eastAsiaTheme="minorEastAsia"/>
              <w:noProof/>
              <w:lang w:val="fr-FR" w:eastAsia="fr-FR" w:bidi="ar-SA"/>
            </w:rPr>
          </w:pPr>
          <w:hyperlink w:anchor="_Toc194136963" w:history="1">
            <w:r w:rsidR="009978BA" w:rsidRPr="000A70A0">
              <w:rPr>
                <w:rStyle w:val="Lienhypertexte"/>
                <w:noProof/>
                <w:lang w:val="fr-FR"/>
              </w:rPr>
              <w:t>2.2</w:t>
            </w:r>
            <w:r w:rsidR="009978BA">
              <w:rPr>
                <w:rFonts w:eastAsiaTheme="minorEastAsia"/>
                <w:noProof/>
                <w:lang w:val="fr-FR" w:eastAsia="fr-FR" w:bidi="ar-SA"/>
              </w:rPr>
              <w:tab/>
            </w:r>
            <w:r w:rsidR="009978BA" w:rsidRPr="000A70A0">
              <w:rPr>
                <w:rStyle w:val="Lienhypertexte"/>
                <w:noProof/>
                <w:lang w:val="fr-FR"/>
              </w:rPr>
              <w:t>Production de l’exercice</w:t>
            </w:r>
            <w:r w:rsidR="009978BA">
              <w:rPr>
                <w:noProof/>
                <w:webHidden/>
              </w:rPr>
              <w:tab/>
            </w:r>
            <w:r>
              <w:rPr>
                <w:noProof/>
                <w:webHidden/>
              </w:rPr>
              <w:fldChar w:fldCharType="begin"/>
            </w:r>
            <w:r w:rsidR="009978BA">
              <w:rPr>
                <w:noProof/>
                <w:webHidden/>
              </w:rPr>
              <w:instrText xml:space="preserve"> PAGEREF _Toc194136963 \h </w:instrText>
            </w:r>
            <w:r>
              <w:rPr>
                <w:noProof/>
                <w:webHidden/>
              </w:rPr>
            </w:r>
            <w:r>
              <w:rPr>
                <w:noProof/>
                <w:webHidden/>
              </w:rPr>
              <w:fldChar w:fldCharType="separate"/>
            </w:r>
            <w:r w:rsidR="0054010B">
              <w:rPr>
                <w:noProof/>
                <w:webHidden/>
              </w:rPr>
              <w:t>2</w:t>
            </w:r>
            <w:r>
              <w:rPr>
                <w:noProof/>
                <w:webHidden/>
              </w:rPr>
              <w:fldChar w:fldCharType="end"/>
            </w:r>
          </w:hyperlink>
        </w:p>
        <w:p w:rsidR="009978BA" w:rsidRDefault="00C4742C">
          <w:pPr>
            <w:pStyle w:val="TM2"/>
            <w:tabs>
              <w:tab w:val="left" w:pos="1100"/>
              <w:tab w:val="right" w:leader="dot" w:pos="9062"/>
            </w:tabs>
            <w:rPr>
              <w:rFonts w:eastAsiaTheme="minorEastAsia"/>
              <w:noProof/>
              <w:lang w:val="fr-FR" w:eastAsia="fr-FR" w:bidi="ar-SA"/>
            </w:rPr>
          </w:pPr>
          <w:hyperlink w:anchor="_Toc194136964" w:history="1">
            <w:r w:rsidR="009978BA" w:rsidRPr="000A70A0">
              <w:rPr>
                <w:rStyle w:val="Lienhypertexte"/>
                <w:noProof/>
                <w:lang w:val="fr-FR"/>
              </w:rPr>
              <w:t>2.3</w:t>
            </w:r>
            <w:r w:rsidR="009978BA">
              <w:rPr>
                <w:rFonts w:eastAsiaTheme="minorEastAsia"/>
                <w:noProof/>
                <w:lang w:val="fr-FR" w:eastAsia="fr-FR" w:bidi="ar-SA"/>
              </w:rPr>
              <w:tab/>
            </w:r>
            <w:r w:rsidR="009978BA" w:rsidRPr="000A70A0">
              <w:rPr>
                <w:rStyle w:val="Lienhypertexte"/>
                <w:noProof/>
                <w:lang w:val="fr-FR"/>
              </w:rPr>
              <w:t>La valeur ajoutée produite</w:t>
            </w:r>
            <w:r w:rsidR="009978BA">
              <w:rPr>
                <w:noProof/>
                <w:webHidden/>
              </w:rPr>
              <w:tab/>
            </w:r>
            <w:r>
              <w:rPr>
                <w:noProof/>
                <w:webHidden/>
              </w:rPr>
              <w:fldChar w:fldCharType="begin"/>
            </w:r>
            <w:r w:rsidR="009978BA">
              <w:rPr>
                <w:noProof/>
                <w:webHidden/>
              </w:rPr>
              <w:instrText xml:space="preserve"> PAGEREF _Toc194136964 \h </w:instrText>
            </w:r>
            <w:r>
              <w:rPr>
                <w:noProof/>
                <w:webHidden/>
              </w:rPr>
            </w:r>
            <w:r>
              <w:rPr>
                <w:noProof/>
                <w:webHidden/>
              </w:rPr>
              <w:fldChar w:fldCharType="separate"/>
            </w:r>
            <w:r w:rsidR="0054010B">
              <w:rPr>
                <w:noProof/>
                <w:webHidden/>
              </w:rPr>
              <w:t>3</w:t>
            </w:r>
            <w:r>
              <w:rPr>
                <w:noProof/>
                <w:webHidden/>
              </w:rPr>
              <w:fldChar w:fldCharType="end"/>
            </w:r>
          </w:hyperlink>
        </w:p>
        <w:p w:rsidR="009978BA" w:rsidRDefault="00C4742C">
          <w:pPr>
            <w:pStyle w:val="TM2"/>
            <w:tabs>
              <w:tab w:val="left" w:pos="1100"/>
              <w:tab w:val="right" w:leader="dot" w:pos="9062"/>
            </w:tabs>
            <w:rPr>
              <w:rFonts w:eastAsiaTheme="minorEastAsia"/>
              <w:noProof/>
              <w:lang w:val="fr-FR" w:eastAsia="fr-FR" w:bidi="ar-SA"/>
            </w:rPr>
          </w:pPr>
          <w:hyperlink w:anchor="_Toc194136965" w:history="1">
            <w:r w:rsidR="009978BA" w:rsidRPr="000A70A0">
              <w:rPr>
                <w:rStyle w:val="Lienhypertexte"/>
                <w:noProof/>
                <w:lang w:val="fr-FR"/>
              </w:rPr>
              <w:t>2.4</w:t>
            </w:r>
            <w:r w:rsidR="009978BA">
              <w:rPr>
                <w:rFonts w:eastAsiaTheme="minorEastAsia"/>
                <w:noProof/>
                <w:lang w:val="fr-FR" w:eastAsia="fr-FR" w:bidi="ar-SA"/>
              </w:rPr>
              <w:tab/>
            </w:r>
            <w:r w:rsidR="009978BA" w:rsidRPr="000A70A0">
              <w:rPr>
                <w:rStyle w:val="Lienhypertexte"/>
                <w:noProof/>
                <w:lang w:val="fr-FR"/>
              </w:rPr>
              <w:t>Excédent brut d’exploitation (EBE)</w:t>
            </w:r>
            <w:r w:rsidR="009978BA">
              <w:rPr>
                <w:noProof/>
                <w:webHidden/>
              </w:rPr>
              <w:tab/>
            </w:r>
            <w:r>
              <w:rPr>
                <w:noProof/>
                <w:webHidden/>
              </w:rPr>
              <w:fldChar w:fldCharType="begin"/>
            </w:r>
            <w:r w:rsidR="009978BA">
              <w:rPr>
                <w:noProof/>
                <w:webHidden/>
              </w:rPr>
              <w:instrText xml:space="preserve"> PAGEREF _Toc194136965 \h </w:instrText>
            </w:r>
            <w:r>
              <w:rPr>
                <w:noProof/>
                <w:webHidden/>
              </w:rPr>
            </w:r>
            <w:r>
              <w:rPr>
                <w:noProof/>
                <w:webHidden/>
              </w:rPr>
              <w:fldChar w:fldCharType="separate"/>
            </w:r>
            <w:r w:rsidR="0054010B">
              <w:rPr>
                <w:noProof/>
                <w:webHidden/>
              </w:rPr>
              <w:t>3</w:t>
            </w:r>
            <w:r>
              <w:rPr>
                <w:noProof/>
                <w:webHidden/>
              </w:rPr>
              <w:fldChar w:fldCharType="end"/>
            </w:r>
          </w:hyperlink>
        </w:p>
        <w:p w:rsidR="009978BA" w:rsidRDefault="00C4742C">
          <w:pPr>
            <w:pStyle w:val="TM2"/>
            <w:tabs>
              <w:tab w:val="left" w:pos="1100"/>
              <w:tab w:val="right" w:leader="dot" w:pos="9062"/>
            </w:tabs>
            <w:rPr>
              <w:rFonts w:eastAsiaTheme="minorEastAsia"/>
              <w:noProof/>
              <w:lang w:val="fr-FR" w:eastAsia="fr-FR" w:bidi="ar-SA"/>
            </w:rPr>
          </w:pPr>
          <w:hyperlink w:anchor="_Toc194136966" w:history="1">
            <w:r w:rsidR="009978BA" w:rsidRPr="000A70A0">
              <w:rPr>
                <w:rStyle w:val="Lienhypertexte"/>
                <w:noProof/>
                <w:lang w:val="fr-FR"/>
              </w:rPr>
              <w:t>2.5</w:t>
            </w:r>
            <w:r w:rsidR="009978BA">
              <w:rPr>
                <w:rFonts w:eastAsiaTheme="minorEastAsia"/>
                <w:noProof/>
                <w:lang w:val="fr-FR" w:eastAsia="fr-FR" w:bidi="ar-SA"/>
              </w:rPr>
              <w:tab/>
            </w:r>
            <w:r w:rsidR="009978BA" w:rsidRPr="000A70A0">
              <w:rPr>
                <w:rStyle w:val="Lienhypertexte"/>
                <w:noProof/>
                <w:lang w:val="fr-FR"/>
              </w:rPr>
              <w:t>Le résultat d’exploitation</w:t>
            </w:r>
            <w:r w:rsidR="009978BA">
              <w:rPr>
                <w:noProof/>
                <w:webHidden/>
              </w:rPr>
              <w:tab/>
            </w:r>
            <w:r>
              <w:rPr>
                <w:noProof/>
                <w:webHidden/>
              </w:rPr>
              <w:fldChar w:fldCharType="begin"/>
            </w:r>
            <w:r w:rsidR="009978BA">
              <w:rPr>
                <w:noProof/>
                <w:webHidden/>
              </w:rPr>
              <w:instrText xml:space="preserve"> PAGEREF _Toc194136966 \h </w:instrText>
            </w:r>
            <w:r>
              <w:rPr>
                <w:noProof/>
                <w:webHidden/>
              </w:rPr>
            </w:r>
            <w:r>
              <w:rPr>
                <w:noProof/>
                <w:webHidden/>
              </w:rPr>
              <w:fldChar w:fldCharType="separate"/>
            </w:r>
            <w:r w:rsidR="0054010B">
              <w:rPr>
                <w:noProof/>
                <w:webHidden/>
              </w:rPr>
              <w:t>3</w:t>
            </w:r>
            <w:r>
              <w:rPr>
                <w:noProof/>
                <w:webHidden/>
              </w:rPr>
              <w:fldChar w:fldCharType="end"/>
            </w:r>
          </w:hyperlink>
        </w:p>
        <w:p w:rsidR="009978BA" w:rsidRDefault="00C4742C">
          <w:pPr>
            <w:pStyle w:val="TM2"/>
            <w:tabs>
              <w:tab w:val="left" w:pos="1100"/>
              <w:tab w:val="right" w:leader="dot" w:pos="9062"/>
            </w:tabs>
            <w:rPr>
              <w:rFonts w:eastAsiaTheme="minorEastAsia"/>
              <w:noProof/>
              <w:lang w:val="fr-FR" w:eastAsia="fr-FR" w:bidi="ar-SA"/>
            </w:rPr>
          </w:pPr>
          <w:hyperlink w:anchor="_Toc194136967" w:history="1">
            <w:r w:rsidR="009978BA" w:rsidRPr="000A70A0">
              <w:rPr>
                <w:rStyle w:val="Lienhypertexte"/>
                <w:noProof/>
                <w:lang w:val="fr-FR"/>
              </w:rPr>
              <w:t>2.6</w:t>
            </w:r>
            <w:r w:rsidR="009978BA">
              <w:rPr>
                <w:rFonts w:eastAsiaTheme="minorEastAsia"/>
                <w:noProof/>
                <w:lang w:val="fr-FR" w:eastAsia="fr-FR" w:bidi="ar-SA"/>
              </w:rPr>
              <w:tab/>
            </w:r>
            <w:r w:rsidR="009978BA" w:rsidRPr="000A70A0">
              <w:rPr>
                <w:rStyle w:val="Lienhypertexte"/>
                <w:noProof/>
                <w:lang w:val="fr-FR"/>
              </w:rPr>
              <w:t>Le résultat courant avant impôt</w:t>
            </w:r>
            <w:r w:rsidR="009978BA">
              <w:rPr>
                <w:noProof/>
                <w:webHidden/>
              </w:rPr>
              <w:tab/>
            </w:r>
            <w:r>
              <w:rPr>
                <w:noProof/>
                <w:webHidden/>
              </w:rPr>
              <w:fldChar w:fldCharType="begin"/>
            </w:r>
            <w:r w:rsidR="009978BA">
              <w:rPr>
                <w:noProof/>
                <w:webHidden/>
              </w:rPr>
              <w:instrText xml:space="preserve"> PAGEREF _Toc194136967 \h </w:instrText>
            </w:r>
            <w:r>
              <w:rPr>
                <w:noProof/>
                <w:webHidden/>
              </w:rPr>
            </w:r>
            <w:r>
              <w:rPr>
                <w:noProof/>
                <w:webHidden/>
              </w:rPr>
              <w:fldChar w:fldCharType="separate"/>
            </w:r>
            <w:r w:rsidR="0054010B">
              <w:rPr>
                <w:noProof/>
                <w:webHidden/>
              </w:rPr>
              <w:t>4</w:t>
            </w:r>
            <w:r>
              <w:rPr>
                <w:noProof/>
                <w:webHidden/>
              </w:rPr>
              <w:fldChar w:fldCharType="end"/>
            </w:r>
          </w:hyperlink>
        </w:p>
        <w:p w:rsidR="009978BA" w:rsidRDefault="00C4742C">
          <w:pPr>
            <w:pStyle w:val="TM2"/>
            <w:tabs>
              <w:tab w:val="left" w:pos="1100"/>
              <w:tab w:val="right" w:leader="dot" w:pos="9062"/>
            </w:tabs>
            <w:rPr>
              <w:rFonts w:eastAsiaTheme="minorEastAsia"/>
              <w:noProof/>
              <w:lang w:val="fr-FR" w:eastAsia="fr-FR" w:bidi="ar-SA"/>
            </w:rPr>
          </w:pPr>
          <w:hyperlink w:anchor="_Toc194136968" w:history="1">
            <w:r w:rsidR="009978BA" w:rsidRPr="000A70A0">
              <w:rPr>
                <w:rStyle w:val="Lienhypertexte"/>
                <w:noProof/>
                <w:lang w:val="fr-FR"/>
              </w:rPr>
              <w:t>2.7</w:t>
            </w:r>
            <w:r w:rsidR="009978BA">
              <w:rPr>
                <w:rFonts w:eastAsiaTheme="minorEastAsia"/>
                <w:noProof/>
                <w:lang w:val="fr-FR" w:eastAsia="fr-FR" w:bidi="ar-SA"/>
              </w:rPr>
              <w:tab/>
            </w:r>
            <w:r w:rsidR="009978BA" w:rsidRPr="000A70A0">
              <w:rPr>
                <w:rStyle w:val="Lienhypertexte"/>
                <w:noProof/>
                <w:lang w:val="fr-FR"/>
              </w:rPr>
              <w:t>Le résultat exceptionnel</w:t>
            </w:r>
            <w:r w:rsidR="009978BA">
              <w:rPr>
                <w:noProof/>
                <w:webHidden/>
              </w:rPr>
              <w:tab/>
            </w:r>
            <w:r>
              <w:rPr>
                <w:noProof/>
                <w:webHidden/>
              </w:rPr>
              <w:fldChar w:fldCharType="begin"/>
            </w:r>
            <w:r w:rsidR="009978BA">
              <w:rPr>
                <w:noProof/>
                <w:webHidden/>
              </w:rPr>
              <w:instrText xml:space="preserve"> PAGEREF _Toc194136968 \h </w:instrText>
            </w:r>
            <w:r>
              <w:rPr>
                <w:noProof/>
                <w:webHidden/>
              </w:rPr>
            </w:r>
            <w:r>
              <w:rPr>
                <w:noProof/>
                <w:webHidden/>
              </w:rPr>
              <w:fldChar w:fldCharType="separate"/>
            </w:r>
            <w:r w:rsidR="0054010B">
              <w:rPr>
                <w:noProof/>
                <w:webHidden/>
              </w:rPr>
              <w:t>4</w:t>
            </w:r>
            <w:r>
              <w:rPr>
                <w:noProof/>
                <w:webHidden/>
              </w:rPr>
              <w:fldChar w:fldCharType="end"/>
            </w:r>
          </w:hyperlink>
        </w:p>
        <w:p w:rsidR="009978BA" w:rsidRDefault="00C4742C">
          <w:pPr>
            <w:pStyle w:val="TM2"/>
            <w:tabs>
              <w:tab w:val="left" w:pos="1100"/>
              <w:tab w:val="right" w:leader="dot" w:pos="9062"/>
            </w:tabs>
            <w:rPr>
              <w:rFonts w:eastAsiaTheme="minorEastAsia"/>
              <w:noProof/>
              <w:lang w:val="fr-FR" w:eastAsia="fr-FR" w:bidi="ar-SA"/>
            </w:rPr>
          </w:pPr>
          <w:hyperlink w:anchor="_Toc194136969" w:history="1">
            <w:r w:rsidR="009978BA" w:rsidRPr="000A70A0">
              <w:rPr>
                <w:rStyle w:val="Lienhypertexte"/>
                <w:noProof/>
                <w:lang w:val="fr-FR"/>
              </w:rPr>
              <w:t>2.8</w:t>
            </w:r>
            <w:r w:rsidR="009978BA">
              <w:rPr>
                <w:rFonts w:eastAsiaTheme="minorEastAsia"/>
                <w:noProof/>
                <w:lang w:val="fr-FR" w:eastAsia="fr-FR" w:bidi="ar-SA"/>
              </w:rPr>
              <w:tab/>
            </w:r>
            <w:r w:rsidR="009978BA" w:rsidRPr="000A70A0">
              <w:rPr>
                <w:rStyle w:val="Lienhypertexte"/>
                <w:noProof/>
                <w:lang w:val="fr-FR"/>
              </w:rPr>
              <w:t>Le résultat de l’exercice</w:t>
            </w:r>
            <w:r w:rsidR="009978BA">
              <w:rPr>
                <w:noProof/>
                <w:webHidden/>
              </w:rPr>
              <w:tab/>
            </w:r>
            <w:r>
              <w:rPr>
                <w:noProof/>
                <w:webHidden/>
              </w:rPr>
              <w:fldChar w:fldCharType="begin"/>
            </w:r>
            <w:r w:rsidR="009978BA">
              <w:rPr>
                <w:noProof/>
                <w:webHidden/>
              </w:rPr>
              <w:instrText xml:space="preserve"> PAGEREF _Toc194136969 \h </w:instrText>
            </w:r>
            <w:r>
              <w:rPr>
                <w:noProof/>
                <w:webHidden/>
              </w:rPr>
            </w:r>
            <w:r>
              <w:rPr>
                <w:noProof/>
                <w:webHidden/>
              </w:rPr>
              <w:fldChar w:fldCharType="separate"/>
            </w:r>
            <w:r w:rsidR="0054010B">
              <w:rPr>
                <w:noProof/>
                <w:webHidden/>
              </w:rPr>
              <w:t>4</w:t>
            </w:r>
            <w:r>
              <w:rPr>
                <w:noProof/>
                <w:webHidden/>
              </w:rPr>
              <w:fldChar w:fldCharType="end"/>
            </w:r>
          </w:hyperlink>
        </w:p>
        <w:p w:rsidR="009978BA" w:rsidRDefault="00C4742C">
          <w:pPr>
            <w:pStyle w:val="TM2"/>
            <w:tabs>
              <w:tab w:val="left" w:pos="1100"/>
              <w:tab w:val="right" w:leader="dot" w:pos="9062"/>
            </w:tabs>
            <w:rPr>
              <w:rFonts w:eastAsiaTheme="minorEastAsia"/>
              <w:noProof/>
              <w:lang w:val="fr-FR" w:eastAsia="fr-FR" w:bidi="ar-SA"/>
            </w:rPr>
          </w:pPr>
          <w:hyperlink w:anchor="_Toc194136970" w:history="1">
            <w:r w:rsidR="009978BA" w:rsidRPr="000A70A0">
              <w:rPr>
                <w:rStyle w:val="Lienhypertexte"/>
                <w:noProof/>
                <w:lang w:val="fr-FR"/>
              </w:rPr>
              <w:t>2.9</w:t>
            </w:r>
            <w:r w:rsidR="009978BA">
              <w:rPr>
                <w:rFonts w:eastAsiaTheme="minorEastAsia"/>
                <w:noProof/>
                <w:lang w:val="fr-FR" w:eastAsia="fr-FR" w:bidi="ar-SA"/>
              </w:rPr>
              <w:tab/>
            </w:r>
            <w:r w:rsidR="009978BA" w:rsidRPr="000A70A0">
              <w:rPr>
                <w:rStyle w:val="Lienhypertexte"/>
                <w:noProof/>
                <w:lang w:val="fr-FR"/>
              </w:rPr>
              <w:t>Plus-values ou moins-values de cessions</w:t>
            </w:r>
            <w:r w:rsidR="009978BA">
              <w:rPr>
                <w:noProof/>
                <w:webHidden/>
              </w:rPr>
              <w:tab/>
            </w:r>
            <w:r>
              <w:rPr>
                <w:noProof/>
                <w:webHidden/>
              </w:rPr>
              <w:fldChar w:fldCharType="begin"/>
            </w:r>
            <w:r w:rsidR="009978BA">
              <w:rPr>
                <w:noProof/>
                <w:webHidden/>
              </w:rPr>
              <w:instrText xml:space="preserve"> PAGEREF _Toc194136970 \h </w:instrText>
            </w:r>
            <w:r>
              <w:rPr>
                <w:noProof/>
                <w:webHidden/>
              </w:rPr>
            </w:r>
            <w:r>
              <w:rPr>
                <w:noProof/>
                <w:webHidden/>
              </w:rPr>
              <w:fldChar w:fldCharType="separate"/>
            </w:r>
            <w:r w:rsidR="0054010B">
              <w:rPr>
                <w:noProof/>
                <w:webHidden/>
              </w:rPr>
              <w:t>4</w:t>
            </w:r>
            <w:r>
              <w:rPr>
                <w:noProof/>
                <w:webHidden/>
              </w:rPr>
              <w:fldChar w:fldCharType="end"/>
            </w:r>
          </w:hyperlink>
        </w:p>
        <w:p w:rsidR="009978BA" w:rsidRDefault="00C4742C">
          <w:pPr>
            <w:pStyle w:val="TM1"/>
            <w:tabs>
              <w:tab w:val="left" w:pos="880"/>
              <w:tab w:val="right" w:leader="dot" w:pos="9062"/>
            </w:tabs>
            <w:rPr>
              <w:rFonts w:eastAsiaTheme="minorEastAsia"/>
              <w:noProof/>
              <w:lang w:val="fr-FR" w:eastAsia="fr-FR" w:bidi="ar-SA"/>
            </w:rPr>
          </w:pPr>
          <w:hyperlink w:anchor="_Toc194136971" w:history="1">
            <w:r w:rsidR="009978BA" w:rsidRPr="000A70A0">
              <w:rPr>
                <w:rStyle w:val="Lienhypertexte"/>
                <w:noProof/>
                <w:lang w:val="fr-FR"/>
              </w:rPr>
              <w:t>3</w:t>
            </w:r>
            <w:r w:rsidR="009978BA">
              <w:rPr>
                <w:rFonts w:eastAsiaTheme="minorEastAsia"/>
                <w:noProof/>
                <w:lang w:val="fr-FR" w:eastAsia="fr-FR" w:bidi="ar-SA"/>
              </w:rPr>
              <w:tab/>
            </w:r>
            <w:r w:rsidR="009978BA" w:rsidRPr="000A70A0">
              <w:rPr>
                <w:rStyle w:val="Lienhypertexte"/>
                <w:noProof/>
                <w:lang w:val="fr-FR"/>
              </w:rPr>
              <w:t>La trésorerie potentielle</w:t>
            </w:r>
            <w:r w:rsidR="009978BA">
              <w:rPr>
                <w:noProof/>
                <w:webHidden/>
              </w:rPr>
              <w:tab/>
            </w:r>
            <w:r>
              <w:rPr>
                <w:noProof/>
                <w:webHidden/>
              </w:rPr>
              <w:fldChar w:fldCharType="begin"/>
            </w:r>
            <w:r w:rsidR="009978BA">
              <w:rPr>
                <w:noProof/>
                <w:webHidden/>
              </w:rPr>
              <w:instrText xml:space="preserve"> PAGEREF _Toc194136971 \h </w:instrText>
            </w:r>
            <w:r>
              <w:rPr>
                <w:noProof/>
                <w:webHidden/>
              </w:rPr>
            </w:r>
            <w:r>
              <w:rPr>
                <w:noProof/>
                <w:webHidden/>
              </w:rPr>
              <w:fldChar w:fldCharType="separate"/>
            </w:r>
            <w:r w:rsidR="0054010B">
              <w:rPr>
                <w:noProof/>
                <w:webHidden/>
              </w:rPr>
              <w:t>5</w:t>
            </w:r>
            <w:r>
              <w:rPr>
                <w:noProof/>
                <w:webHidden/>
              </w:rPr>
              <w:fldChar w:fldCharType="end"/>
            </w:r>
          </w:hyperlink>
        </w:p>
        <w:p w:rsidR="009978BA" w:rsidRDefault="00C4742C">
          <w:pPr>
            <w:pStyle w:val="TM2"/>
            <w:tabs>
              <w:tab w:val="left" w:pos="1100"/>
              <w:tab w:val="right" w:leader="dot" w:pos="9062"/>
            </w:tabs>
            <w:rPr>
              <w:rFonts w:eastAsiaTheme="minorEastAsia"/>
              <w:noProof/>
              <w:lang w:val="fr-FR" w:eastAsia="fr-FR" w:bidi="ar-SA"/>
            </w:rPr>
          </w:pPr>
          <w:hyperlink w:anchor="_Toc194136972" w:history="1">
            <w:r w:rsidR="009978BA" w:rsidRPr="000A70A0">
              <w:rPr>
                <w:rStyle w:val="Lienhypertexte"/>
                <w:noProof/>
                <w:lang w:val="fr-FR"/>
              </w:rPr>
              <w:t>3.1</w:t>
            </w:r>
            <w:r w:rsidR="009978BA">
              <w:rPr>
                <w:rFonts w:eastAsiaTheme="minorEastAsia"/>
                <w:noProof/>
                <w:lang w:val="fr-FR" w:eastAsia="fr-FR" w:bidi="ar-SA"/>
              </w:rPr>
              <w:tab/>
            </w:r>
            <w:r w:rsidR="009978BA" w:rsidRPr="000A70A0">
              <w:rPr>
                <w:rStyle w:val="Lienhypertexte"/>
                <w:noProof/>
                <w:lang w:val="fr-FR"/>
              </w:rPr>
              <w:t>Définition de la trésorerie potentielle</w:t>
            </w:r>
            <w:r w:rsidR="009978BA">
              <w:rPr>
                <w:noProof/>
                <w:webHidden/>
              </w:rPr>
              <w:tab/>
            </w:r>
            <w:r>
              <w:rPr>
                <w:noProof/>
                <w:webHidden/>
              </w:rPr>
              <w:fldChar w:fldCharType="begin"/>
            </w:r>
            <w:r w:rsidR="009978BA">
              <w:rPr>
                <w:noProof/>
                <w:webHidden/>
              </w:rPr>
              <w:instrText xml:space="preserve"> PAGEREF _Toc194136972 \h </w:instrText>
            </w:r>
            <w:r>
              <w:rPr>
                <w:noProof/>
                <w:webHidden/>
              </w:rPr>
            </w:r>
            <w:r>
              <w:rPr>
                <w:noProof/>
                <w:webHidden/>
              </w:rPr>
              <w:fldChar w:fldCharType="separate"/>
            </w:r>
            <w:r w:rsidR="0054010B">
              <w:rPr>
                <w:noProof/>
                <w:webHidden/>
              </w:rPr>
              <w:t>5</w:t>
            </w:r>
            <w:r>
              <w:rPr>
                <w:noProof/>
                <w:webHidden/>
              </w:rPr>
              <w:fldChar w:fldCharType="end"/>
            </w:r>
          </w:hyperlink>
        </w:p>
        <w:p w:rsidR="009978BA" w:rsidRDefault="00C4742C">
          <w:pPr>
            <w:pStyle w:val="TM2"/>
            <w:tabs>
              <w:tab w:val="left" w:pos="1100"/>
              <w:tab w:val="right" w:leader="dot" w:pos="9062"/>
            </w:tabs>
            <w:rPr>
              <w:rFonts w:eastAsiaTheme="minorEastAsia"/>
              <w:noProof/>
              <w:lang w:val="fr-FR" w:eastAsia="fr-FR" w:bidi="ar-SA"/>
            </w:rPr>
          </w:pPr>
          <w:hyperlink w:anchor="_Toc194136973" w:history="1">
            <w:r w:rsidR="009978BA" w:rsidRPr="000A70A0">
              <w:rPr>
                <w:rStyle w:val="Lienhypertexte"/>
                <w:noProof/>
                <w:lang w:val="fr-FR"/>
              </w:rPr>
              <w:t>3.2</w:t>
            </w:r>
            <w:r w:rsidR="009978BA">
              <w:rPr>
                <w:rFonts w:eastAsiaTheme="minorEastAsia"/>
                <w:noProof/>
                <w:lang w:val="fr-FR" w:eastAsia="fr-FR" w:bidi="ar-SA"/>
              </w:rPr>
              <w:tab/>
            </w:r>
            <w:r w:rsidR="009978BA" w:rsidRPr="000A70A0">
              <w:rPr>
                <w:rStyle w:val="Lienhypertexte"/>
                <w:noProof/>
                <w:lang w:val="fr-FR"/>
              </w:rPr>
              <w:t>Calcul de la CAF</w:t>
            </w:r>
            <w:r w:rsidR="009978BA">
              <w:rPr>
                <w:noProof/>
                <w:webHidden/>
              </w:rPr>
              <w:tab/>
            </w:r>
            <w:r>
              <w:rPr>
                <w:noProof/>
                <w:webHidden/>
              </w:rPr>
              <w:fldChar w:fldCharType="begin"/>
            </w:r>
            <w:r w:rsidR="009978BA">
              <w:rPr>
                <w:noProof/>
                <w:webHidden/>
              </w:rPr>
              <w:instrText xml:space="preserve"> PAGEREF _Toc194136973 \h </w:instrText>
            </w:r>
            <w:r>
              <w:rPr>
                <w:noProof/>
                <w:webHidden/>
              </w:rPr>
            </w:r>
            <w:r>
              <w:rPr>
                <w:noProof/>
                <w:webHidden/>
              </w:rPr>
              <w:fldChar w:fldCharType="separate"/>
            </w:r>
            <w:r w:rsidR="0054010B">
              <w:rPr>
                <w:noProof/>
                <w:webHidden/>
              </w:rPr>
              <w:t>6</w:t>
            </w:r>
            <w:r>
              <w:rPr>
                <w:noProof/>
                <w:webHidden/>
              </w:rPr>
              <w:fldChar w:fldCharType="end"/>
            </w:r>
          </w:hyperlink>
        </w:p>
        <w:p w:rsidR="009978BA" w:rsidRDefault="00C4742C">
          <w:pPr>
            <w:pStyle w:val="TM3"/>
            <w:tabs>
              <w:tab w:val="left" w:pos="1540"/>
              <w:tab w:val="right" w:leader="dot" w:pos="9062"/>
            </w:tabs>
            <w:rPr>
              <w:rFonts w:eastAsiaTheme="minorEastAsia"/>
              <w:noProof/>
              <w:lang w:val="fr-FR" w:eastAsia="fr-FR" w:bidi="ar-SA"/>
            </w:rPr>
          </w:pPr>
          <w:hyperlink w:anchor="_Toc194136974" w:history="1">
            <w:r w:rsidR="009978BA" w:rsidRPr="000A70A0">
              <w:rPr>
                <w:rStyle w:val="Lienhypertexte"/>
                <w:noProof/>
                <w:lang w:val="fr-FR"/>
              </w:rPr>
              <w:t>3.2.1</w:t>
            </w:r>
            <w:r w:rsidR="009978BA">
              <w:rPr>
                <w:rFonts w:eastAsiaTheme="minorEastAsia"/>
                <w:noProof/>
                <w:lang w:val="fr-FR" w:eastAsia="fr-FR" w:bidi="ar-SA"/>
              </w:rPr>
              <w:tab/>
            </w:r>
            <w:r w:rsidR="009978BA" w:rsidRPr="000A70A0">
              <w:rPr>
                <w:rStyle w:val="Lienhypertexte"/>
                <w:noProof/>
                <w:lang w:val="fr-FR"/>
              </w:rPr>
              <w:t>Méthode directe</w:t>
            </w:r>
            <w:r w:rsidR="009978BA">
              <w:rPr>
                <w:noProof/>
                <w:webHidden/>
              </w:rPr>
              <w:tab/>
            </w:r>
            <w:r>
              <w:rPr>
                <w:noProof/>
                <w:webHidden/>
              </w:rPr>
              <w:fldChar w:fldCharType="begin"/>
            </w:r>
            <w:r w:rsidR="009978BA">
              <w:rPr>
                <w:noProof/>
                <w:webHidden/>
              </w:rPr>
              <w:instrText xml:space="preserve"> PAGEREF _Toc194136974 \h </w:instrText>
            </w:r>
            <w:r>
              <w:rPr>
                <w:noProof/>
                <w:webHidden/>
              </w:rPr>
            </w:r>
            <w:r>
              <w:rPr>
                <w:noProof/>
                <w:webHidden/>
              </w:rPr>
              <w:fldChar w:fldCharType="separate"/>
            </w:r>
            <w:r w:rsidR="0054010B">
              <w:rPr>
                <w:noProof/>
                <w:webHidden/>
              </w:rPr>
              <w:t>6</w:t>
            </w:r>
            <w:r>
              <w:rPr>
                <w:noProof/>
                <w:webHidden/>
              </w:rPr>
              <w:fldChar w:fldCharType="end"/>
            </w:r>
          </w:hyperlink>
        </w:p>
        <w:p w:rsidR="009978BA" w:rsidRDefault="00C4742C">
          <w:pPr>
            <w:pStyle w:val="TM3"/>
            <w:tabs>
              <w:tab w:val="left" w:pos="1540"/>
              <w:tab w:val="right" w:leader="dot" w:pos="9062"/>
            </w:tabs>
            <w:rPr>
              <w:rFonts w:eastAsiaTheme="minorEastAsia"/>
              <w:noProof/>
              <w:lang w:val="fr-FR" w:eastAsia="fr-FR" w:bidi="ar-SA"/>
            </w:rPr>
          </w:pPr>
          <w:hyperlink w:anchor="_Toc194136975" w:history="1">
            <w:r w:rsidR="009978BA" w:rsidRPr="000A70A0">
              <w:rPr>
                <w:rStyle w:val="Lienhypertexte"/>
                <w:noProof/>
                <w:lang w:val="fr-FR"/>
              </w:rPr>
              <w:t>3.2.2</w:t>
            </w:r>
            <w:r w:rsidR="009978BA">
              <w:rPr>
                <w:rFonts w:eastAsiaTheme="minorEastAsia"/>
                <w:noProof/>
                <w:lang w:val="fr-FR" w:eastAsia="fr-FR" w:bidi="ar-SA"/>
              </w:rPr>
              <w:tab/>
            </w:r>
            <w:r w:rsidR="009978BA" w:rsidRPr="000A70A0">
              <w:rPr>
                <w:rStyle w:val="Lienhypertexte"/>
                <w:noProof/>
                <w:lang w:val="fr-FR"/>
              </w:rPr>
              <w:t>Méthode indirecte</w:t>
            </w:r>
            <w:r w:rsidR="009978BA">
              <w:rPr>
                <w:noProof/>
                <w:webHidden/>
              </w:rPr>
              <w:tab/>
            </w:r>
            <w:r>
              <w:rPr>
                <w:noProof/>
                <w:webHidden/>
              </w:rPr>
              <w:fldChar w:fldCharType="begin"/>
            </w:r>
            <w:r w:rsidR="009978BA">
              <w:rPr>
                <w:noProof/>
                <w:webHidden/>
              </w:rPr>
              <w:instrText xml:space="preserve"> PAGEREF _Toc194136975 \h </w:instrText>
            </w:r>
            <w:r>
              <w:rPr>
                <w:noProof/>
                <w:webHidden/>
              </w:rPr>
            </w:r>
            <w:r>
              <w:rPr>
                <w:noProof/>
                <w:webHidden/>
              </w:rPr>
              <w:fldChar w:fldCharType="separate"/>
            </w:r>
            <w:r w:rsidR="0054010B">
              <w:rPr>
                <w:noProof/>
                <w:webHidden/>
              </w:rPr>
              <w:t>6</w:t>
            </w:r>
            <w:r>
              <w:rPr>
                <w:noProof/>
                <w:webHidden/>
              </w:rPr>
              <w:fldChar w:fldCharType="end"/>
            </w:r>
          </w:hyperlink>
        </w:p>
        <w:p w:rsidR="009978BA" w:rsidRDefault="00C4742C">
          <w:pPr>
            <w:pStyle w:val="TM1"/>
            <w:tabs>
              <w:tab w:val="left" w:pos="880"/>
              <w:tab w:val="right" w:leader="dot" w:pos="9062"/>
            </w:tabs>
            <w:rPr>
              <w:rFonts w:eastAsiaTheme="minorEastAsia"/>
              <w:noProof/>
              <w:lang w:val="fr-FR" w:eastAsia="fr-FR" w:bidi="ar-SA"/>
            </w:rPr>
          </w:pPr>
          <w:hyperlink w:anchor="_Toc194136976" w:history="1">
            <w:r w:rsidR="009978BA" w:rsidRPr="000A70A0">
              <w:rPr>
                <w:rStyle w:val="Lienhypertexte"/>
                <w:noProof/>
                <w:lang w:val="fr-FR"/>
              </w:rPr>
              <w:t>4</w:t>
            </w:r>
            <w:r w:rsidR="009978BA">
              <w:rPr>
                <w:rFonts w:eastAsiaTheme="minorEastAsia"/>
                <w:noProof/>
                <w:lang w:val="fr-FR" w:eastAsia="fr-FR" w:bidi="ar-SA"/>
              </w:rPr>
              <w:tab/>
            </w:r>
            <w:r w:rsidR="009978BA" w:rsidRPr="000A70A0">
              <w:rPr>
                <w:rStyle w:val="Lienhypertexte"/>
                <w:noProof/>
                <w:lang w:val="fr-FR"/>
              </w:rPr>
              <w:t>Analyse des performances</w:t>
            </w:r>
            <w:r w:rsidR="009978BA">
              <w:rPr>
                <w:noProof/>
                <w:webHidden/>
              </w:rPr>
              <w:tab/>
            </w:r>
            <w:r>
              <w:rPr>
                <w:noProof/>
                <w:webHidden/>
              </w:rPr>
              <w:fldChar w:fldCharType="begin"/>
            </w:r>
            <w:r w:rsidR="009978BA">
              <w:rPr>
                <w:noProof/>
                <w:webHidden/>
              </w:rPr>
              <w:instrText xml:space="preserve"> PAGEREF _Toc194136976 \h </w:instrText>
            </w:r>
            <w:r>
              <w:rPr>
                <w:noProof/>
                <w:webHidden/>
              </w:rPr>
            </w:r>
            <w:r>
              <w:rPr>
                <w:noProof/>
                <w:webHidden/>
              </w:rPr>
              <w:fldChar w:fldCharType="separate"/>
            </w:r>
            <w:r w:rsidR="0054010B">
              <w:rPr>
                <w:noProof/>
                <w:webHidden/>
              </w:rPr>
              <w:t>6</w:t>
            </w:r>
            <w:r>
              <w:rPr>
                <w:noProof/>
                <w:webHidden/>
              </w:rPr>
              <w:fldChar w:fldCharType="end"/>
            </w:r>
          </w:hyperlink>
        </w:p>
        <w:p w:rsidR="009978BA" w:rsidRDefault="00C4742C">
          <w:pPr>
            <w:pStyle w:val="TM2"/>
            <w:tabs>
              <w:tab w:val="left" w:pos="1100"/>
              <w:tab w:val="right" w:leader="dot" w:pos="9062"/>
            </w:tabs>
            <w:rPr>
              <w:rFonts w:eastAsiaTheme="minorEastAsia"/>
              <w:noProof/>
              <w:lang w:val="fr-FR" w:eastAsia="fr-FR" w:bidi="ar-SA"/>
            </w:rPr>
          </w:pPr>
          <w:hyperlink w:anchor="_Toc194136977" w:history="1">
            <w:r w:rsidR="009978BA" w:rsidRPr="000A70A0">
              <w:rPr>
                <w:rStyle w:val="Lienhypertexte"/>
                <w:noProof/>
                <w:lang w:val="fr-FR"/>
              </w:rPr>
              <w:t>4.1</w:t>
            </w:r>
            <w:r w:rsidR="009978BA">
              <w:rPr>
                <w:rFonts w:eastAsiaTheme="minorEastAsia"/>
                <w:noProof/>
                <w:lang w:val="fr-FR" w:eastAsia="fr-FR" w:bidi="ar-SA"/>
              </w:rPr>
              <w:tab/>
            </w:r>
            <w:r w:rsidR="009978BA" w:rsidRPr="000A70A0">
              <w:rPr>
                <w:rStyle w:val="Lienhypertexte"/>
                <w:noProof/>
                <w:lang w:val="fr-FR"/>
              </w:rPr>
              <w:t>Notion de performance</w:t>
            </w:r>
            <w:r w:rsidR="009978BA">
              <w:rPr>
                <w:noProof/>
                <w:webHidden/>
              </w:rPr>
              <w:tab/>
            </w:r>
            <w:r>
              <w:rPr>
                <w:noProof/>
                <w:webHidden/>
              </w:rPr>
              <w:fldChar w:fldCharType="begin"/>
            </w:r>
            <w:r w:rsidR="009978BA">
              <w:rPr>
                <w:noProof/>
                <w:webHidden/>
              </w:rPr>
              <w:instrText xml:space="preserve"> PAGEREF _Toc194136977 \h </w:instrText>
            </w:r>
            <w:r>
              <w:rPr>
                <w:noProof/>
                <w:webHidden/>
              </w:rPr>
            </w:r>
            <w:r>
              <w:rPr>
                <w:noProof/>
                <w:webHidden/>
              </w:rPr>
              <w:fldChar w:fldCharType="separate"/>
            </w:r>
            <w:r w:rsidR="0054010B">
              <w:rPr>
                <w:noProof/>
                <w:webHidden/>
              </w:rPr>
              <w:t>6</w:t>
            </w:r>
            <w:r>
              <w:rPr>
                <w:noProof/>
                <w:webHidden/>
              </w:rPr>
              <w:fldChar w:fldCharType="end"/>
            </w:r>
          </w:hyperlink>
        </w:p>
        <w:p w:rsidR="009978BA" w:rsidRDefault="00C4742C">
          <w:pPr>
            <w:pStyle w:val="TM2"/>
            <w:tabs>
              <w:tab w:val="left" w:pos="1100"/>
              <w:tab w:val="right" w:leader="dot" w:pos="9062"/>
            </w:tabs>
            <w:rPr>
              <w:rFonts w:eastAsiaTheme="minorEastAsia"/>
              <w:noProof/>
              <w:lang w:val="fr-FR" w:eastAsia="fr-FR" w:bidi="ar-SA"/>
            </w:rPr>
          </w:pPr>
          <w:hyperlink w:anchor="_Toc194136978" w:history="1">
            <w:r w:rsidR="009978BA" w:rsidRPr="000A70A0">
              <w:rPr>
                <w:rStyle w:val="Lienhypertexte"/>
                <w:noProof/>
                <w:lang w:val="fr-FR"/>
              </w:rPr>
              <w:t>4.2</w:t>
            </w:r>
            <w:r w:rsidR="009978BA">
              <w:rPr>
                <w:rFonts w:eastAsiaTheme="minorEastAsia"/>
                <w:noProof/>
                <w:lang w:val="fr-FR" w:eastAsia="fr-FR" w:bidi="ar-SA"/>
              </w:rPr>
              <w:tab/>
            </w:r>
            <w:r w:rsidR="009978BA" w:rsidRPr="000A70A0">
              <w:rPr>
                <w:rStyle w:val="Lienhypertexte"/>
                <w:noProof/>
                <w:lang w:val="fr-FR"/>
              </w:rPr>
              <w:t>La méthode des ratios</w:t>
            </w:r>
            <w:r w:rsidR="009978BA">
              <w:rPr>
                <w:noProof/>
                <w:webHidden/>
              </w:rPr>
              <w:tab/>
            </w:r>
            <w:r>
              <w:rPr>
                <w:noProof/>
                <w:webHidden/>
              </w:rPr>
              <w:fldChar w:fldCharType="begin"/>
            </w:r>
            <w:r w:rsidR="009978BA">
              <w:rPr>
                <w:noProof/>
                <w:webHidden/>
              </w:rPr>
              <w:instrText xml:space="preserve"> PAGEREF _Toc194136978 \h </w:instrText>
            </w:r>
            <w:r>
              <w:rPr>
                <w:noProof/>
                <w:webHidden/>
              </w:rPr>
            </w:r>
            <w:r>
              <w:rPr>
                <w:noProof/>
                <w:webHidden/>
              </w:rPr>
              <w:fldChar w:fldCharType="separate"/>
            </w:r>
            <w:r w:rsidR="0054010B">
              <w:rPr>
                <w:noProof/>
                <w:webHidden/>
              </w:rPr>
              <w:t>7</w:t>
            </w:r>
            <w:r>
              <w:rPr>
                <w:noProof/>
                <w:webHidden/>
              </w:rPr>
              <w:fldChar w:fldCharType="end"/>
            </w:r>
          </w:hyperlink>
        </w:p>
        <w:p w:rsidR="009978BA" w:rsidRDefault="00C4742C">
          <w:pPr>
            <w:pStyle w:val="TM2"/>
            <w:tabs>
              <w:tab w:val="left" w:pos="1100"/>
              <w:tab w:val="right" w:leader="dot" w:pos="9062"/>
            </w:tabs>
            <w:rPr>
              <w:rFonts w:eastAsiaTheme="minorEastAsia"/>
              <w:noProof/>
              <w:lang w:val="fr-FR" w:eastAsia="fr-FR" w:bidi="ar-SA"/>
            </w:rPr>
          </w:pPr>
          <w:hyperlink w:anchor="_Toc194136979" w:history="1">
            <w:r w:rsidR="009978BA" w:rsidRPr="000A70A0">
              <w:rPr>
                <w:rStyle w:val="Lienhypertexte"/>
                <w:noProof/>
                <w:lang w:val="fr-FR"/>
              </w:rPr>
              <w:t>4.3</w:t>
            </w:r>
            <w:r w:rsidR="009978BA">
              <w:rPr>
                <w:rFonts w:eastAsiaTheme="minorEastAsia"/>
                <w:noProof/>
                <w:lang w:val="fr-FR" w:eastAsia="fr-FR" w:bidi="ar-SA"/>
              </w:rPr>
              <w:tab/>
            </w:r>
            <w:r w:rsidR="009978BA" w:rsidRPr="000A70A0">
              <w:rPr>
                <w:rStyle w:val="Lienhypertexte"/>
                <w:noProof/>
                <w:lang w:val="fr-FR"/>
              </w:rPr>
              <w:t>Les indicateurs de la performance</w:t>
            </w:r>
            <w:r w:rsidR="009978BA">
              <w:rPr>
                <w:noProof/>
                <w:webHidden/>
              </w:rPr>
              <w:tab/>
            </w:r>
            <w:r>
              <w:rPr>
                <w:noProof/>
                <w:webHidden/>
              </w:rPr>
              <w:fldChar w:fldCharType="begin"/>
            </w:r>
            <w:r w:rsidR="009978BA">
              <w:rPr>
                <w:noProof/>
                <w:webHidden/>
              </w:rPr>
              <w:instrText xml:space="preserve"> PAGEREF _Toc194136979 \h </w:instrText>
            </w:r>
            <w:r>
              <w:rPr>
                <w:noProof/>
                <w:webHidden/>
              </w:rPr>
            </w:r>
            <w:r>
              <w:rPr>
                <w:noProof/>
                <w:webHidden/>
              </w:rPr>
              <w:fldChar w:fldCharType="separate"/>
            </w:r>
            <w:r w:rsidR="0054010B">
              <w:rPr>
                <w:noProof/>
                <w:webHidden/>
              </w:rPr>
              <w:t>7</w:t>
            </w:r>
            <w:r>
              <w:rPr>
                <w:noProof/>
                <w:webHidden/>
              </w:rPr>
              <w:fldChar w:fldCharType="end"/>
            </w:r>
          </w:hyperlink>
        </w:p>
        <w:p w:rsidR="009978BA" w:rsidRDefault="00C4742C">
          <w:pPr>
            <w:pStyle w:val="TM3"/>
            <w:tabs>
              <w:tab w:val="left" w:pos="1540"/>
              <w:tab w:val="right" w:leader="dot" w:pos="9062"/>
            </w:tabs>
            <w:rPr>
              <w:rFonts w:eastAsiaTheme="minorEastAsia"/>
              <w:noProof/>
              <w:lang w:val="fr-FR" w:eastAsia="fr-FR" w:bidi="ar-SA"/>
            </w:rPr>
          </w:pPr>
          <w:hyperlink w:anchor="_Toc194136980" w:history="1">
            <w:r w:rsidR="009978BA" w:rsidRPr="000A70A0">
              <w:rPr>
                <w:rStyle w:val="Lienhypertexte"/>
                <w:noProof/>
                <w:lang w:val="fr-FR"/>
              </w:rPr>
              <w:t>4.3.1</w:t>
            </w:r>
            <w:r w:rsidR="009978BA">
              <w:rPr>
                <w:rFonts w:eastAsiaTheme="minorEastAsia"/>
                <w:noProof/>
                <w:lang w:val="fr-FR" w:eastAsia="fr-FR" w:bidi="ar-SA"/>
              </w:rPr>
              <w:tab/>
            </w:r>
            <w:r w:rsidR="009978BA" w:rsidRPr="000A70A0">
              <w:rPr>
                <w:rStyle w:val="Lienhypertexte"/>
                <w:noProof/>
                <w:lang w:val="fr-FR"/>
              </w:rPr>
              <w:t>Evolution de l’activité</w:t>
            </w:r>
            <w:r w:rsidR="009978BA">
              <w:rPr>
                <w:noProof/>
                <w:webHidden/>
              </w:rPr>
              <w:tab/>
            </w:r>
            <w:r>
              <w:rPr>
                <w:noProof/>
                <w:webHidden/>
              </w:rPr>
              <w:fldChar w:fldCharType="begin"/>
            </w:r>
            <w:r w:rsidR="009978BA">
              <w:rPr>
                <w:noProof/>
                <w:webHidden/>
              </w:rPr>
              <w:instrText xml:space="preserve"> PAGEREF _Toc194136980 \h </w:instrText>
            </w:r>
            <w:r>
              <w:rPr>
                <w:noProof/>
                <w:webHidden/>
              </w:rPr>
            </w:r>
            <w:r>
              <w:rPr>
                <w:noProof/>
                <w:webHidden/>
              </w:rPr>
              <w:fldChar w:fldCharType="separate"/>
            </w:r>
            <w:r w:rsidR="0054010B">
              <w:rPr>
                <w:noProof/>
                <w:webHidden/>
              </w:rPr>
              <w:t>7</w:t>
            </w:r>
            <w:r>
              <w:rPr>
                <w:noProof/>
                <w:webHidden/>
              </w:rPr>
              <w:fldChar w:fldCharType="end"/>
            </w:r>
          </w:hyperlink>
        </w:p>
        <w:p w:rsidR="009978BA" w:rsidRDefault="00C4742C">
          <w:pPr>
            <w:rPr>
              <w:lang w:val="fr-FR"/>
            </w:rPr>
          </w:pPr>
          <w:r>
            <w:rPr>
              <w:lang w:val="fr-FR"/>
            </w:rPr>
            <w:fldChar w:fldCharType="end"/>
          </w:r>
        </w:p>
      </w:sdtContent>
    </w:sdt>
    <w:p w:rsidR="009978BA" w:rsidRDefault="009978BA" w:rsidP="00187756">
      <w:pPr>
        <w:pStyle w:val="Titre1"/>
        <w:rPr>
          <w:lang w:val="fr-FR"/>
        </w:rPr>
        <w:sectPr w:rsidR="009978BA" w:rsidSect="00BC4F44">
          <w:footerReference w:type="default" r:id="rId8"/>
          <w:pgSz w:w="11906" w:h="16838"/>
          <w:pgMar w:top="1417" w:right="1417" w:bottom="1417" w:left="1417" w:header="708" w:footer="708" w:gutter="0"/>
          <w:cols w:space="708"/>
          <w:docGrid w:linePitch="360"/>
        </w:sectPr>
      </w:pPr>
      <w:bookmarkStart w:id="0" w:name="_Toc194136960"/>
    </w:p>
    <w:p w:rsidR="00187756" w:rsidRDefault="00187756" w:rsidP="00187756">
      <w:pPr>
        <w:pStyle w:val="Titre1"/>
        <w:rPr>
          <w:lang w:val="fr-FR"/>
        </w:rPr>
      </w:pPr>
      <w:r>
        <w:rPr>
          <w:lang w:val="fr-FR"/>
        </w:rPr>
        <w:lastRenderedPageBreak/>
        <w:t>Présentation du compte de résultat</w:t>
      </w:r>
      <w:bookmarkEnd w:id="0"/>
    </w:p>
    <w:p w:rsidR="00187756" w:rsidRDefault="00187756" w:rsidP="00187756">
      <w:pPr>
        <w:rPr>
          <w:lang w:val="fr-FR"/>
        </w:rPr>
      </w:pPr>
      <w:r>
        <w:rPr>
          <w:lang w:val="fr-FR"/>
        </w:rPr>
        <w:t xml:space="preserve">Le compte de résultat recense les produits et les charges de l’exercice, et donne une explication détaillée du résultat net comptable. </w:t>
      </w:r>
    </w:p>
    <w:p w:rsidR="00187756" w:rsidRDefault="00187756" w:rsidP="00187756">
      <w:pPr>
        <w:rPr>
          <w:lang w:val="fr-FR"/>
        </w:rPr>
      </w:pPr>
      <w:r>
        <w:rPr>
          <w:lang w:val="fr-FR"/>
        </w:rPr>
        <w:t xml:space="preserve">En France, les charges et les produits sont présentés par nature. On distingue ainsi les charges d’exploitation, les charges financières et les charges exceptionnelles. </w:t>
      </w:r>
    </w:p>
    <w:p w:rsidR="00187756" w:rsidRDefault="00187756" w:rsidP="00187756">
      <w:pPr>
        <w:rPr>
          <w:lang w:val="fr-FR"/>
        </w:rPr>
      </w:pPr>
      <w:r>
        <w:rPr>
          <w:lang w:val="fr-FR"/>
        </w:rPr>
        <w:t xml:space="preserve">Le compte de résultat peut être présenté en liste, ce qui présente l’avantage de donner un résultat net détaillé, ou en tableau. </w:t>
      </w:r>
    </w:p>
    <w:p w:rsidR="00187756" w:rsidRDefault="00187756" w:rsidP="00187756">
      <w:pPr>
        <w:rPr>
          <w:lang w:val="fr-FR"/>
        </w:rPr>
      </w:pPr>
      <w:r>
        <w:rPr>
          <w:lang w:val="fr-FR"/>
        </w:rPr>
        <w:t xml:space="preserve">Chaque ligne du compte de résultat correspond à un poste, qui peut regrouper plusieurs postes. </w:t>
      </w:r>
    </w:p>
    <w:p w:rsidR="00187756" w:rsidRDefault="00187756" w:rsidP="00187756">
      <w:pPr>
        <w:pStyle w:val="Titre1"/>
        <w:rPr>
          <w:lang w:val="fr-FR"/>
        </w:rPr>
      </w:pPr>
      <w:bookmarkStart w:id="1" w:name="_Toc194136961"/>
      <w:r>
        <w:rPr>
          <w:lang w:val="fr-FR"/>
        </w:rPr>
        <w:t>Les retraitements du compte de résultat</w:t>
      </w:r>
      <w:bookmarkEnd w:id="1"/>
    </w:p>
    <w:p w:rsidR="00187756" w:rsidRDefault="00187756" w:rsidP="00187756">
      <w:pPr>
        <w:rPr>
          <w:lang w:val="fr-FR"/>
        </w:rPr>
      </w:pPr>
      <w:r>
        <w:rPr>
          <w:lang w:val="fr-FR"/>
        </w:rPr>
        <w:t>Le retraitement s’explique par la nécessité de connaître comment le résultat a été obtenu. On adjoint donc au compte de résultat un tableau qui fait apparaître des soldes économiques pertinents : c’est le Tableau de Soldes Intermédiaires de Gestion (TSIG), qui est composé de huit indicateurs.</w:t>
      </w:r>
    </w:p>
    <w:p w:rsidR="00187756" w:rsidRDefault="00187756" w:rsidP="00187756">
      <w:pPr>
        <w:pStyle w:val="Titre2"/>
        <w:rPr>
          <w:lang w:val="fr-FR"/>
        </w:rPr>
      </w:pPr>
      <w:bookmarkStart w:id="2" w:name="_Toc194136962"/>
      <w:r>
        <w:rPr>
          <w:lang w:val="fr-FR"/>
        </w:rPr>
        <w:t>La marge commerciale</w:t>
      </w:r>
      <w:bookmarkEnd w:id="2"/>
    </w:p>
    <w:p w:rsidR="00187756" w:rsidRDefault="00187756" w:rsidP="00187756">
      <w:pPr>
        <w:rPr>
          <w:lang w:val="fr-FR"/>
        </w:rPr>
      </w:pPr>
      <w:r>
        <w:rPr>
          <w:lang w:val="fr-FR"/>
        </w:rPr>
        <w:t xml:space="preserve">C’est le premier indicateur du TSIG. Elle mesure la performance </w:t>
      </w:r>
      <w:r w:rsidR="003A19AA">
        <w:rPr>
          <w:lang w:val="fr-FR"/>
        </w:rPr>
        <w:t>commerciale</w:t>
      </w:r>
      <w:r>
        <w:rPr>
          <w:lang w:val="fr-FR"/>
        </w:rPr>
        <w:t xml:space="preserve"> de l’entreprise, c'est-à-dire son aptitude à faire accepter un surplus au client. </w:t>
      </w:r>
    </w:p>
    <w:tbl>
      <w:tblPr>
        <w:tblStyle w:val="Grilledutableau"/>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2496"/>
        <w:gridCol w:w="303"/>
        <w:gridCol w:w="2489"/>
        <w:gridCol w:w="303"/>
        <w:gridCol w:w="3697"/>
      </w:tblGrid>
      <w:tr w:rsidR="00DB7BB0" w:rsidRPr="00116045" w:rsidTr="00DB7BB0">
        <w:trPr>
          <w:jc w:val="center"/>
        </w:trPr>
        <w:tc>
          <w:tcPr>
            <w:tcW w:w="1344" w:type="pct"/>
            <w:vAlign w:val="center"/>
          </w:tcPr>
          <w:p w:rsidR="00DB7BB0" w:rsidRPr="00116045" w:rsidRDefault="00DB7BB0" w:rsidP="0054010B">
            <w:pPr>
              <w:ind w:firstLine="0"/>
              <w:jc w:val="center"/>
              <w:rPr>
                <w:color w:val="92D050"/>
                <w:lang w:val="fr-FR"/>
              </w:rPr>
            </w:pPr>
            <w:r>
              <w:rPr>
                <w:color w:val="92D050"/>
                <w:lang w:val="fr-FR"/>
              </w:rPr>
              <w:t>Vente de marchandises</w:t>
            </w:r>
          </w:p>
        </w:tc>
        <w:tc>
          <w:tcPr>
            <w:tcW w:w="163" w:type="pct"/>
            <w:vAlign w:val="center"/>
          </w:tcPr>
          <w:p w:rsidR="00DB7BB0" w:rsidRPr="00116045" w:rsidRDefault="00DB7BB0" w:rsidP="0054010B">
            <w:pPr>
              <w:ind w:firstLine="0"/>
              <w:jc w:val="center"/>
              <w:rPr>
                <w:color w:val="92D050"/>
                <w:lang w:val="fr-FR"/>
              </w:rPr>
            </w:pPr>
            <w:r>
              <w:rPr>
                <w:color w:val="92D050"/>
                <w:lang w:val="fr-FR"/>
              </w:rPr>
              <w:t>-</w:t>
            </w:r>
          </w:p>
        </w:tc>
        <w:tc>
          <w:tcPr>
            <w:tcW w:w="1340" w:type="pct"/>
            <w:vAlign w:val="center"/>
          </w:tcPr>
          <w:p w:rsidR="00DB7BB0" w:rsidRPr="00116045" w:rsidRDefault="00DB7BB0" w:rsidP="0054010B">
            <w:pPr>
              <w:ind w:firstLine="0"/>
              <w:jc w:val="center"/>
              <w:rPr>
                <w:color w:val="92D050"/>
                <w:lang w:val="fr-FR"/>
              </w:rPr>
            </w:pPr>
            <w:r>
              <w:rPr>
                <w:color w:val="92D050"/>
                <w:lang w:val="fr-FR"/>
              </w:rPr>
              <w:t>Achat de marchandises</w:t>
            </w:r>
          </w:p>
        </w:tc>
        <w:tc>
          <w:tcPr>
            <w:tcW w:w="163" w:type="pct"/>
            <w:vAlign w:val="center"/>
          </w:tcPr>
          <w:p w:rsidR="00DB7BB0" w:rsidRPr="00116045" w:rsidRDefault="00DB7BB0" w:rsidP="0054010B">
            <w:pPr>
              <w:ind w:firstLine="0"/>
              <w:jc w:val="center"/>
              <w:rPr>
                <w:color w:val="92D050"/>
                <w:lang w:val="fr-FR"/>
              </w:rPr>
            </w:pPr>
            <w:r>
              <w:rPr>
                <w:color w:val="92D050"/>
                <w:lang w:val="fr-FR"/>
              </w:rPr>
              <w:t>-</w:t>
            </w:r>
          </w:p>
        </w:tc>
        <w:tc>
          <w:tcPr>
            <w:tcW w:w="1991" w:type="pct"/>
            <w:vAlign w:val="center"/>
          </w:tcPr>
          <w:p w:rsidR="00DB7BB0" w:rsidRPr="00116045" w:rsidRDefault="00DB7BB0" w:rsidP="0054010B">
            <w:pPr>
              <w:ind w:firstLine="0"/>
              <w:jc w:val="center"/>
              <w:rPr>
                <w:color w:val="92D050"/>
                <w:lang w:val="fr-FR"/>
              </w:rPr>
            </w:pPr>
            <w:r>
              <w:rPr>
                <w:color w:val="92D050"/>
                <w:lang w:val="fr-FR"/>
              </w:rPr>
              <w:t>Variation de stock de marchandises</w:t>
            </w:r>
          </w:p>
        </w:tc>
      </w:tr>
    </w:tbl>
    <w:p w:rsidR="00960533" w:rsidRDefault="00960533" w:rsidP="00960533">
      <w:pPr>
        <w:pStyle w:val="Titre2"/>
        <w:rPr>
          <w:lang w:val="fr-FR"/>
        </w:rPr>
      </w:pPr>
      <w:bookmarkStart w:id="3" w:name="_Toc194136963"/>
      <w:r>
        <w:rPr>
          <w:lang w:val="fr-FR"/>
        </w:rPr>
        <w:t>Production de l’exercice</w:t>
      </w:r>
      <w:bookmarkEnd w:id="3"/>
    </w:p>
    <w:p w:rsidR="00960533" w:rsidRDefault="00960533" w:rsidP="00960533">
      <w:pPr>
        <w:rPr>
          <w:lang w:val="fr-FR"/>
        </w:rPr>
      </w:pPr>
      <w:r>
        <w:rPr>
          <w:lang w:val="fr-FR"/>
        </w:rPr>
        <w:t xml:space="preserve">La production de l’exercice mesure la croissance de l’activité industrielle. </w:t>
      </w:r>
    </w:p>
    <w:tbl>
      <w:tblPr>
        <w:tblStyle w:val="Grilledutableau"/>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2596"/>
        <w:gridCol w:w="438"/>
        <w:gridCol w:w="2623"/>
        <w:gridCol w:w="438"/>
        <w:gridCol w:w="3193"/>
      </w:tblGrid>
      <w:tr w:rsidR="00DB7BB0" w:rsidRPr="00116045" w:rsidTr="00DB7BB0">
        <w:trPr>
          <w:jc w:val="center"/>
        </w:trPr>
        <w:tc>
          <w:tcPr>
            <w:tcW w:w="1397" w:type="pct"/>
            <w:vAlign w:val="center"/>
          </w:tcPr>
          <w:p w:rsidR="00DB7BB0" w:rsidRPr="00116045" w:rsidRDefault="00DB7BB0" w:rsidP="0054010B">
            <w:pPr>
              <w:ind w:firstLine="0"/>
              <w:jc w:val="center"/>
              <w:rPr>
                <w:color w:val="92D050"/>
                <w:lang w:val="fr-FR"/>
              </w:rPr>
            </w:pPr>
            <w:r>
              <w:rPr>
                <w:color w:val="92D050"/>
                <w:lang w:val="fr-FR"/>
              </w:rPr>
              <w:t>Production vendue</w:t>
            </w:r>
          </w:p>
        </w:tc>
        <w:tc>
          <w:tcPr>
            <w:tcW w:w="236" w:type="pct"/>
            <w:vAlign w:val="center"/>
          </w:tcPr>
          <w:p w:rsidR="00DB7BB0" w:rsidRPr="00116045" w:rsidRDefault="00DB7BB0" w:rsidP="0054010B">
            <w:pPr>
              <w:ind w:firstLine="0"/>
              <w:jc w:val="center"/>
              <w:rPr>
                <w:color w:val="92D050"/>
                <w:lang w:val="fr-FR"/>
              </w:rPr>
            </w:pPr>
            <w:r>
              <w:rPr>
                <w:color w:val="92D050"/>
                <w:lang w:val="fr-FR"/>
              </w:rPr>
              <w:t>+</w:t>
            </w:r>
          </w:p>
        </w:tc>
        <w:tc>
          <w:tcPr>
            <w:tcW w:w="1412" w:type="pct"/>
            <w:vAlign w:val="center"/>
          </w:tcPr>
          <w:p w:rsidR="00DB7BB0" w:rsidRPr="00116045" w:rsidRDefault="00DB7BB0" w:rsidP="0054010B">
            <w:pPr>
              <w:ind w:firstLine="0"/>
              <w:jc w:val="center"/>
              <w:rPr>
                <w:color w:val="92D050"/>
                <w:lang w:val="fr-FR"/>
              </w:rPr>
            </w:pPr>
            <w:r>
              <w:rPr>
                <w:color w:val="92D050"/>
                <w:lang w:val="fr-FR"/>
              </w:rPr>
              <w:t>Production stockée</w:t>
            </w:r>
          </w:p>
        </w:tc>
        <w:tc>
          <w:tcPr>
            <w:tcW w:w="236" w:type="pct"/>
            <w:vAlign w:val="center"/>
          </w:tcPr>
          <w:p w:rsidR="00DB7BB0" w:rsidRPr="00116045" w:rsidRDefault="00DB7BB0" w:rsidP="00DB7BB0">
            <w:pPr>
              <w:ind w:firstLine="0"/>
              <w:rPr>
                <w:color w:val="92D050"/>
                <w:lang w:val="fr-FR"/>
              </w:rPr>
            </w:pPr>
            <w:r>
              <w:rPr>
                <w:color w:val="92D050"/>
                <w:lang w:val="fr-FR"/>
              </w:rPr>
              <w:t>+</w:t>
            </w:r>
          </w:p>
        </w:tc>
        <w:tc>
          <w:tcPr>
            <w:tcW w:w="1720" w:type="pct"/>
            <w:vAlign w:val="center"/>
          </w:tcPr>
          <w:p w:rsidR="00DB7BB0" w:rsidRPr="00116045" w:rsidRDefault="00DB7BB0" w:rsidP="0054010B">
            <w:pPr>
              <w:ind w:firstLine="0"/>
              <w:jc w:val="center"/>
              <w:rPr>
                <w:color w:val="92D050"/>
                <w:lang w:val="fr-FR"/>
              </w:rPr>
            </w:pPr>
            <w:r>
              <w:rPr>
                <w:color w:val="92D050"/>
                <w:lang w:val="fr-FR"/>
              </w:rPr>
              <w:t>Production immobilisée</w:t>
            </w:r>
          </w:p>
        </w:tc>
      </w:tr>
    </w:tbl>
    <w:p w:rsidR="00960533" w:rsidRDefault="00960533" w:rsidP="00960533">
      <w:pPr>
        <w:rPr>
          <w:lang w:val="fr-FR"/>
        </w:rPr>
      </w:pPr>
      <w:r>
        <w:rPr>
          <w:lang w:val="fr-FR"/>
        </w:rPr>
        <w:t>La production stockée correspond à la variation de stock de produit fini. La production immobilisée correspond aux immobilisations fabriquées par l’entreprise pour ses besoins propres.</w:t>
      </w:r>
    </w:p>
    <w:p w:rsidR="00960533" w:rsidRDefault="00960533" w:rsidP="00960533">
      <w:pPr>
        <w:rPr>
          <w:lang w:val="fr-FR"/>
        </w:rPr>
      </w:pPr>
      <w:r>
        <w:rPr>
          <w:lang w:val="fr-FR"/>
        </w:rPr>
        <w:t xml:space="preserve">Cet indicateur présente de nombreuses limites. En effet, ce n’est pas parce que la production augmente que l’entreprise est plus performante. De plus, la production de l’exercice est hétérogène : la production vendue est valorisée à son prix de vente, tandis que la production stockée l’est à son coût de production. </w:t>
      </w:r>
    </w:p>
    <w:p w:rsidR="009978BA" w:rsidRDefault="009978BA" w:rsidP="00960533">
      <w:pPr>
        <w:pStyle w:val="Titre2"/>
        <w:rPr>
          <w:lang w:val="fr-FR"/>
        </w:rPr>
        <w:sectPr w:rsidR="009978BA" w:rsidSect="00BC4F44">
          <w:pgSz w:w="11906" w:h="16838"/>
          <w:pgMar w:top="1417" w:right="1417" w:bottom="1417" w:left="1417" w:header="708" w:footer="708" w:gutter="0"/>
          <w:cols w:space="708"/>
          <w:docGrid w:linePitch="360"/>
        </w:sectPr>
      </w:pPr>
      <w:bookmarkStart w:id="4" w:name="_Toc194136964"/>
    </w:p>
    <w:p w:rsidR="00960533" w:rsidRDefault="00960533" w:rsidP="00960533">
      <w:pPr>
        <w:pStyle w:val="Titre2"/>
        <w:rPr>
          <w:lang w:val="fr-FR"/>
        </w:rPr>
      </w:pPr>
      <w:r>
        <w:rPr>
          <w:lang w:val="fr-FR"/>
        </w:rPr>
        <w:lastRenderedPageBreak/>
        <w:t>La valeur ajoutée produite</w:t>
      </w:r>
      <w:bookmarkEnd w:id="4"/>
    </w:p>
    <w:p w:rsidR="008F02C6" w:rsidRDefault="00960533" w:rsidP="0065481A">
      <w:pPr>
        <w:rPr>
          <w:lang w:val="fr-FR"/>
        </w:rPr>
      </w:pPr>
      <w:r>
        <w:rPr>
          <w:lang w:val="fr-FR"/>
        </w:rPr>
        <w:t>La valeur ajoutée mesure la richesse prélevée par l’entreprise à partir de ses premières opérations de gestion. Elle donne une idée du poids économique de l’entreprise.</w:t>
      </w:r>
    </w:p>
    <w:tbl>
      <w:tblPr>
        <w:tblStyle w:val="Grilledutableau"/>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2527"/>
        <w:gridCol w:w="347"/>
        <w:gridCol w:w="2114"/>
        <w:gridCol w:w="295"/>
        <w:gridCol w:w="4005"/>
      </w:tblGrid>
      <w:tr w:rsidR="00116045" w:rsidRPr="00116045" w:rsidTr="00DB7BB0">
        <w:trPr>
          <w:jc w:val="center"/>
        </w:trPr>
        <w:tc>
          <w:tcPr>
            <w:tcW w:w="1360" w:type="pct"/>
            <w:vAlign w:val="center"/>
          </w:tcPr>
          <w:p w:rsidR="00116045" w:rsidRPr="00116045" w:rsidRDefault="00116045" w:rsidP="0054010B">
            <w:pPr>
              <w:ind w:firstLine="0"/>
              <w:jc w:val="center"/>
              <w:rPr>
                <w:color w:val="92D050"/>
                <w:lang w:val="fr-FR"/>
              </w:rPr>
            </w:pPr>
            <w:r>
              <w:rPr>
                <w:color w:val="92D050"/>
                <w:lang w:val="fr-FR"/>
              </w:rPr>
              <w:t>Production de l’exercice</w:t>
            </w:r>
          </w:p>
        </w:tc>
        <w:tc>
          <w:tcPr>
            <w:tcW w:w="186" w:type="pct"/>
            <w:vAlign w:val="center"/>
          </w:tcPr>
          <w:p w:rsidR="00116045" w:rsidRPr="00116045" w:rsidRDefault="00116045" w:rsidP="0054010B">
            <w:pPr>
              <w:ind w:firstLine="0"/>
              <w:jc w:val="center"/>
              <w:rPr>
                <w:color w:val="92D050"/>
                <w:lang w:val="fr-FR"/>
              </w:rPr>
            </w:pPr>
            <w:r w:rsidRPr="00116045">
              <w:rPr>
                <w:color w:val="92D050"/>
                <w:lang w:val="fr-FR"/>
              </w:rPr>
              <w:t>+</w:t>
            </w:r>
          </w:p>
        </w:tc>
        <w:tc>
          <w:tcPr>
            <w:tcW w:w="1138" w:type="pct"/>
            <w:vAlign w:val="center"/>
          </w:tcPr>
          <w:p w:rsidR="00116045" w:rsidRPr="00116045" w:rsidRDefault="00116045" w:rsidP="0054010B">
            <w:pPr>
              <w:ind w:firstLine="0"/>
              <w:jc w:val="center"/>
              <w:rPr>
                <w:color w:val="92D050"/>
                <w:lang w:val="fr-FR"/>
              </w:rPr>
            </w:pPr>
            <w:r>
              <w:rPr>
                <w:color w:val="92D050"/>
                <w:lang w:val="fr-FR"/>
              </w:rPr>
              <w:t>Marge commerciale</w:t>
            </w:r>
          </w:p>
        </w:tc>
        <w:tc>
          <w:tcPr>
            <w:tcW w:w="159" w:type="pct"/>
            <w:vAlign w:val="center"/>
          </w:tcPr>
          <w:p w:rsidR="00116045" w:rsidRPr="00116045" w:rsidRDefault="00116045" w:rsidP="0054010B">
            <w:pPr>
              <w:ind w:firstLine="0"/>
              <w:jc w:val="center"/>
              <w:rPr>
                <w:color w:val="92D050"/>
                <w:lang w:val="fr-FR"/>
              </w:rPr>
            </w:pPr>
            <w:r>
              <w:rPr>
                <w:color w:val="92D050"/>
                <w:lang w:val="fr-FR"/>
              </w:rPr>
              <w:t>-</w:t>
            </w:r>
          </w:p>
        </w:tc>
        <w:tc>
          <w:tcPr>
            <w:tcW w:w="2156" w:type="pct"/>
            <w:vAlign w:val="center"/>
          </w:tcPr>
          <w:p w:rsidR="00116045" w:rsidRPr="00116045" w:rsidRDefault="00116045" w:rsidP="0054010B">
            <w:pPr>
              <w:ind w:firstLine="0"/>
              <w:jc w:val="center"/>
              <w:rPr>
                <w:color w:val="92D050"/>
                <w:lang w:val="fr-FR"/>
              </w:rPr>
            </w:pPr>
            <w:r>
              <w:rPr>
                <w:color w:val="92D050"/>
                <w:lang w:val="fr-FR"/>
              </w:rPr>
              <w:t>Consommation en provenance des tiers</w:t>
            </w:r>
          </w:p>
        </w:tc>
      </w:tr>
      <w:tr w:rsidR="00116045" w:rsidRPr="00116045" w:rsidTr="00DB7BB0">
        <w:trPr>
          <w:jc w:val="center"/>
        </w:trPr>
        <w:tc>
          <w:tcPr>
            <w:tcW w:w="1360" w:type="pct"/>
            <w:vAlign w:val="center"/>
          </w:tcPr>
          <w:p w:rsidR="00116045" w:rsidRPr="00116045" w:rsidRDefault="00116045" w:rsidP="00DB7BB0">
            <w:pPr>
              <w:spacing w:before="0"/>
              <w:ind w:firstLine="0"/>
              <w:jc w:val="right"/>
              <w:rPr>
                <w:color w:val="FFC000"/>
                <w:sz w:val="16"/>
                <w:szCs w:val="16"/>
                <w:lang w:val="fr-FR"/>
              </w:rPr>
            </w:pPr>
          </w:p>
        </w:tc>
        <w:tc>
          <w:tcPr>
            <w:tcW w:w="186" w:type="pct"/>
            <w:vAlign w:val="center"/>
          </w:tcPr>
          <w:p w:rsidR="00116045" w:rsidRPr="00116045" w:rsidRDefault="00116045" w:rsidP="00DB7BB0">
            <w:pPr>
              <w:spacing w:before="0"/>
              <w:ind w:firstLine="0"/>
              <w:jc w:val="right"/>
              <w:rPr>
                <w:color w:val="FFC000"/>
                <w:sz w:val="16"/>
                <w:szCs w:val="16"/>
                <w:lang w:val="fr-FR"/>
              </w:rPr>
            </w:pPr>
          </w:p>
        </w:tc>
        <w:tc>
          <w:tcPr>
            <w:tcW w:w="1138" w:type="pct"/>
            <w:vAlign w:val="center"/>
          </w:tcPr>
          <w:p w:rsidR="00116045" w:rsidRPr="00116045" w:rsidRDefault="00116045" w:rsidP="00DB7BB0">
            <w:pPr>
              <w:spacing w:before="0"/>
              <w:ind w:firstLine="0"/>
              <w:jc w:val="right"/>
              <w:rPr>
                <w:color w:val="FFC000"/>
                <w:sz w:val="16"/>
                <w:szCs w:val="16"/>
                <w:lang w:val="fr-FR"/>
              </w:rPr>
            </w:pPr>
          </w:p>
        </w:tc>
        <w:tc>
          <w:tcPr>
            <w:tcW w:w="159" w:type="pct"/>
            <w:vAlign w:val="center"/>
          </w:tcPr>
          <w:p w:rsidR="00116045" w:rsidRPr="00116045" w:rsidRDefault="00116045" w:rsidP="00DB7BB0">
            <w:pPr>
              <w:spacing w:before="0"/>
              <w:ind w:firstLine="0"/>
              <w:jc w:val="right"/>
              <w:rPr>
                <w:color w:val="FFC000"/>
                <w:sz w:val="16"/>
                <w:szCs w:val="16"/>
                <w:lang w:val="fr-FR"/>
              </w:rPr>
            </w:pPr>
          </w:p>
        </w:tc>
        <w:tc>
          <w:tcPr>
            <w:tcW w:w="2156" w:type="pct"/>
            <w:vAlign w:val="center"/>
          </w:tcPr>
          <w:p w:rsidR="00116045" w:rsidRPr="00116045" w:rsidRDefault="00116045" w:rsidP="00DB7BB0">
            <w:pPr>
              <w:spacing w:before="0"/>
              <w:ind w:firstLine="0"/>
              <w:rPr>
                <w:color w:val="FFC000"/>
                <w:sz w:val="16"/>
                <w:szCs w:val="16"/>
                <w:lang w:val="fr-FR"/>
              </w:rPr>
            </w:pPr>
            <w:r w:rsidRPr="00116045">
              <w:rPr>
                <w:color w:val="FFC000"/>
                <w:sz w:val="16"/>
                <w:szCs w:val="16"/>
                <w:lang w:val="fr-FR"/>
              </w:rPr>
              <w:t>= Achat de matières premières et approvisionnements</w:t>
            </w:r>
          </w:p>
          <w:p w:rsidR="00116045" w:rsidRPr="00116045" w:rsidRDefault="00116045" w:rsidP="00DB7BB0">
            <w:pPr>
              <w:spacing w:before="0"/>
              <w:ind w:firstLine="0"/>
              <w:rPr>
                <w:color w:val="FFC000"/>
                <w:sz w:val="16"/>
                <w:szCs w:val="16"/>
                <w:lang w:val="fr-FR"/>
              </w:rPr>
            </w:pPr>
            <w:r w:rsidRPr="00116045">
              <w:rPr>
                <w:color w:val="FFC000"/>
                <w:sz w:val="16"/>
                <w:szCs w:val="16"/>
                <w:lang w:val="fr-FR"/>
              </w:rPr>
              <w:t>+ Variation des stocks</w:t>
            </w:r>
          </w:p>
          <w:p w:rsidR="00116045" w:rsidRPr="00116045" w:rsidRDefault="00116045" w:rsidP="00DB7BB0">
            <w:pPr>
              <w:spacing w:before="0"/>
              <w:ind w:firstLine="0"/>
              <w:rPr>
                <w:color w:val="FFC000"/>
                <w:sz w:val="16"/>
                <w:szCs w:val="16"/>
                <w:lang w:val="fr-FR"/>
              </w:rPr>
            </w:pPr>
            <w:r w:rsidRPr="00116045">
              <w:rPr>
                <w:color w:val="FFC000"/>
                <w:sz w:val="16"/>
                <w:szCs w:val="16"/>
                <w:lang w:val="fr-FR"/>
              </w:rPr>
              <w:t>+ Autres achats et charges externes</w:t>
            </w:r>
          </w:p>
        </w:tc>
      </w:tr>
    </w:tbl>
    <w:p w:rsidR="0065481A" w:rsidRDefault="0065481A" w:rsidP="00DB7BB0">
      <w:pPr>
        <w:spacing w:before="0"/>
        <w:rPr>
          <w:lang w:val="fr-FR"/>
        </w:rPr>
      </w:pPr>
      <w:r w:rsidRPr="0065481A">
        <w:rPr>
          <w:lang w:val="fr-FR"/>
        </w:rPr>
        <w:t xml:space="preserve">La valeur ajoutée donne une idée du poids économique de l’entreprise. </w:t>
      </w:r>
      <w:r>
        <w:rPr>
          <w:lang w:val="fr-FR"/>
        </w:rPr>
        <w:t>A partir de son montant, on peut</w:t>
      </w:r>
      <w:r w:rsidRPr="0065481A">
        <w:rPr>
          <w:lang w:val="fr-FR"/>
        </w:rPr>
        <w:t xml:space="preserve"> </w:t>
      </w:r>
      <w:r>
        <w:rPr>
          <w:lang w:val="fr-FR"/>
        </w:rPr>
        <w:t>évaluer l</w:t>
      </w:r>
      <w:r w:rsidRPr="0065481A">
        <w:rPr>
          <w:lang w:val="fr-FR"/>
        </w:rPr>
        <w:t>a répartition entre les différentes parties prenantes.</w:t>
      </w:r>
    </w:p>
    <w:p w:rsidR="0037745D" w:rsidRDefault="0037745D" w:rsidP="0037745D">
      <w:pPr>
        <w:pStyle w:val="Titre2"/>
        <w:rPr>
          <w:lang w:val="fr-FR"/>
        </w:rPr>
      </w:pPr>
      <w:bookmarkStart w:id="5" w:name="_Toc194136965"/>
      <w:r>
        <w:rPr>
          <w:lang w:val="fr-FR"/>
        </w:rPr>
        <w:t>Excédent brut d’exploitation (EBE)</w:t>
      </w:r>
      <w:bookmarkEnd w:id="5"/>
    </w:p>
    <w:p w:rsidR="0037745D" w:rsidRDefault="0037745D" w:rsidP="0037745D">
      <w:pPr>
        <w:rPr>
          <w:lang w:val="fr-FR"/>
        </w:rPr>
      </w:pPr>
      <w:r>
        <w:rPr>
          <w:lang w:val="fr-FR"/>
        </w:rPr>
        <w:t xml:space="preserve">L’excédent brut d’exploitation est composé uniquement des charges encaissables et des produits décaissables. </w:t>
      </w:r>
    </w:p>
    <w:tbl>
      <w:tblPr>
        <w:tblStyle w:val="Grilledutableau"/>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503"/>
        <w:gridCol w:w="351"/>
        <w:gridCol w:w="2729"/>
        <w:gridCol w:w="301"/>
        <w:gridCol w:w="2764"/>
        <w:gridCol w:w="301"/>
        <w:gridCol w:w="2339"/>
      </w:tblGrid>
      <w:tr w:rsidR="00116045" w:rsidRPr="00116045" w:rsidTr="00DB7BB0">
        <w:trPr>
          <w:jc w:val="center"/>
        </w:trPr>
        <w:tc>
          <w:tcPr>
            <w:tcW w:w="271" w:type="pct"/>
            <w:vAlign w:val="center"/>
          </w:tcPr>
          <w:p w:rsidR="00116045" w:rsidRPr="00116045" w:rsidRDefault="00116045" w:rsidP="00116045">
            <w:pPr>
              <w:ind w:firstLine="0"/>
              <w:jc w:val="center"/>
              <w:rPr>
                <w:color w:val="92D050"/>
                <w:lang w:val="fr-FR"/>
              </w:rPr>
            </w:pPr>
            <w:r>
              <w:rPr>
                <w:color w:val="92D050"/>
                <w:lang w:val="fr-FR"/>
              </w:rPr>
              <w:t>VA</w:t>
            </w:r>
          </w:p>
        </w:tc>
        <w:tc>
          <w:tcPr>
            <w:tcW w:w="189" w:type="pct"/>
            <w:vAlign w:val="center"/>
          </w:tcPr>
          <w:p w:rsidR="00116045" w:rsidRPr="00116045" w:rsidRDefault="00116045" w:rsidP="00116045">
            <w:pPr>
              <w:ind w:firstLine="0"/>
              <w:jc w:val="center"/>
              <w:rPr>
                <w:color w:val="92D050"/>
                <w:lang w:val="fr-FR"/>
              </w:rPr>
            </w:pPr>
            <w:r w:rsidRPr="00116045">
              <w:rPr>
                <w:color w:val="92D050"/>
                <w:lang w:val="fr-FR"/>
              </w:rPr>
              <w:t>+</w:t>
            </w:r>
          </w:p>
        </w:tc>
        <w:tc>
          <w:tcPr>
            <w:tcW w:w="1469" w:type="pct"/>
            <w:vAlign w:val="center"/>
          </w:tcPr>
          <w:p w:rsidR="00116045" w:rsidRPr="00116045" w:rsidRDefault="00116045" w:rsidP="00116045">
            <w:pPr>
              <w:ind w:firstLine="0"/>
              <w:jc w:val="center"/>
              <w:rPr>
                <w:color w:val="92D050"/>
                <w:lang w:val="fr-FR"/>
              </w:rPr>
            </w:pPr>
            <w:r>
              <w:rPr>
                <w:color w:val="92D050"/>
                <w:lang w:val="fr-FR"/>
              </w:rPr>
              <w:t>Subvention d’exploitation</w:t>
            </w:r>
          </w:p>
        </w:tc>
        <w:tc>
          <w:tcPr>
            <w:tcW w:w="162" w:type="pct"/>
            <w:vAlign w:val="center"/>
          </w:tcPr>
          <w:p w:rsidR="00116045" w:rsidRPr="00116045" w:rsidRDefault="00116045" w:rsidP="00116045">
            <w:pPr>
              <w:ind w:firstLine="0"/>
              <w:jc w:val="center"/>
              <w:rPr>
                <w:color w:val="92D050"/>
                <w:lang w:val="fr-FR"/>
              </w:rPr>
            </w:pPr>
            <w:r>
              <w:rPr>
                <w:color w:val="92D050"/>
                <w:lang w:val="fr-FR"/>
              </w:rPr>
              <w:t>-</w:t>
            </w:r>
          </w:p>
        </w:tc>
        <w:tc>
          <w:tcPr>
            <w:tcW w:w="1488" w:type="pct"/>
            <w:vAlign w:val="center"/>
          </w:tcPr>
          <w:p w:rsidR="00116045" w:rsidRPr="00116045" w:rsidRDefault="00116045" w:rsidP="00116045">
            <w:pPr>
              <w:ind w:firstLine="0"/>
              <w:jc w:val="center"/>
              <w:rPr>
                <w:color w:val="92D050"/>
                <w:lang w:val="fr-FR"/>
              </w:rPr>
            </w:pPr>
            <w:r>
              <w:rPr>
                <w:color w:val="92D050"/>
                <w:lang w:val="fr-FR"/>
              </w:rPr>
              <w:t>Impôts et taxes assimilées</w:t>
            </w:r>
          </w:p>
        </w:tc>
        <w:tc>
          <w:tcPr>
            <w:tcW w:w="162" w:type="pct"/>
            <w:vAlign w:val="center"/>
          </w:tcPr>
          <w:p w:rsidR="00116045" w:rsidRPr="00116045" w:rsidRDefault="00116045" w:rsidP="00116045">
            <w:pPr>
              <w:ind w:firstLine="0"/>
              <w:jc w:val="center"/>
              <w:rPr>
                <w:color w:val="92D050"/>
                <w:lang w:val="fr-FR"/>
              </w:rPr>
            </w:pPr>
            <w:r w:rsidRPr="00116045">
              <w:rPr>
                <w:color w:val="92D050"/>
                <w:lang w:val="fr-FR"/>
              </w:rPr>
              <w:t>-</w:t>
            </w:r>
          </w:p>
        </w:tc>
        <w:tc>
          <w:tcPr>
            <w:tcW w:w="1259" w:type="pct"/>
            <w:vAlign w:val="center"/>
          </w:tcPr>
          <w:p w:rsidR="00116045" w:rsidRPr="00116045" w:rsidRDefault="00116045" w:rsidP="00116045">
            <w:pPr>
              <w:ind w:firstLine="0"/>
              <w:jc w:val="center"/>
              <w:rPr>
                <w:color w:val="92D050"/>
                <w:lang w:val="fr-FR"/>
              </w:rPr>
            </w:pPr>
            <w:r>
              <w:rPr>
                <w:color w:val="92D050"/>
                <w:lang w:val="fr-FR"/>
              </w:rPr>
              <w:t>Charges du personnel</w:t>
            </w:r>
          </w:p>
        </w:tc>
      </w:tr>
      <w:tr w:rsidR="00116045" w:rsidTr="00DB7BB0">
        <w:trPr>
          <w:jc w:val="center"/>
        </w:trPr>
        <w:tc>
          <w:tcPr>
            <w:tcW w:w="271" w:type="pct"/>
            <w:vAlign w:val="center"/>
          </w:tcPr>
          <w:p w:rsidR="00116045" w:rsidRDefault="00116045" w:rsidP="00116045">
            <w:pPr>
              <w:ind w:firstLine="0"/>
              <w:jc w:val="right"/>
              <w:rPr>
                <w:lang w:val="fr-FR"/>
              </w:rPr>
            </w:pPr>
          </w:p>
        </w:tc>
        <w:tc>
          <w:tcPr>
            <w:tcW w:w="189" w:type="pct"/>
            <w:vAlign w:val="center"/>
          </w:tcPr>
          <w:p w:rsidR="00116045" w:rsidRDefault="00116045" w:rsidP="00116045">
            <w:pPr>
              <w:ind w:firstLine="0"/>
              <w:jc w:val="right"/>
              <w:rPr>
                <w:lang w:val="fr-FR"/>
              </w:rPr>
            </w:pPr>
          </w:p>
        </w:tc>
        <w:tc>
          <w:tcPr>
            <w:tcW w:w="1469" w:type="pct"/>
            <w:vAlign w:val="center"/>
          </w:tcPr>
          <w:p w:rsidR="00116045" w:rsidRDefault="00116045" w:rsidP="00116045">
            <w:pPr>
              <w:ind w:firstLine="0"/>
              <w:jc w:val="right"/>
              <w:rPr>
                <w:lang w:val="fr-FR"/>
              </w:rPr>
            </w:pPr>
          </w:p>
        </w:tc>
        <w:tc>
          <w:tcPr>
            <w:tcW w:w="162" w:type="pct"/>
            <w:vAlign w:val="center"/>
          </w:tcPr>
          <w:p w:rsidR="00116045" w:rsidRDefault="00116045" w:rsidP="00116045">
            <w:pPr>
              <w:ind w:firstLine="0"/>
              <w:jc w:val="right"/>
              <w:rPr>
                <w:lang w:val="fr-FR"/>
              </w:rPr>
            </w:pPr>
          </w:p>
        </w:tc>
        <w:tc>
          <w:tcPr>
            <w:tcW w:w="1488" w:type="pct"/>
            <w:vAlign w:val="center"/>
          </w:tcPr>
          <w:p w:rsidR="00116045" w:rsidRDefault="00116045" w:rsidP="00116045">
            <w:pPr>
              <w:ind w:firstLine="0"/>
              <w:jc w:val="right"/>
              <w:rPr>
                <w:lang w:val="fr-FR"/>
              </w:rPr>
            </w:pPr>
          </w:p>
        </w:tc>
        <w:tc>
          <w:tcPr>
            <w:tcW w:w="162" w:type="pct"/>
            <w:vAlign w:val="center"/>
          </w:tcPr>
          <w:p w:rsidR="00116045" w:rsidRDefault="00116045" w:rsidP="00116045">
            <w:pPr>
              <w:ind w:firstLine="0"/>
              <w:jc w:val="right"/>
              <w:rPr>
                <w:lang w:val="fr-FR"/>
              </w:rPr>
            </w:pPr>
          </w:p>
        </w:tc>
        <w:tc>
          <w:tcPr>
            <w:tcW w:w="1259" w:type="pct"/>
            <w:vAlign w:val="center"/>
          </w:tcPr>
          <w:p w:rsidR="00116045" w:rsidRDefault="00116045" w:rsidP="00DB7BB0">
            <w:pPr>
              <w:ind w:firstLine="0"/>
              <w:rPr>
                <w:color w:val="FFC000"/>
                <w:sz w:val="16"/>
                <w:szCs w:val="16"/>
                <w:lang w:val="fr-FR"/>
              </w:rPr>
            </w:pPr>
            <w:r w:rsidRPr="00116045">
              <w:rPr>
                <w:color w:val="FFC000"/>
                <w:sz w:val="16"/>
                <w:szCs w:val="16"/>
                <w:lang w:val="fr-FR"/>
              </w:rPr>
              <w:t xml:space="preserve">= </w:t>
            </w:r>
            <w:r>
              <w:rPr>
                <w:color w:val="FFC000"/>
                <w:sz w:val="16"/>
                <w:szCs w:val="16"/>
                <w:lang w:val="fr-FR"/>
              </w:rPr>
              <w:t>salaires et traitements</w:t>
            </w:r>
          </w:p>
          <w:p w:rsidR="00116045" w:rsidRPr="00116045" w:rsidRDefault="00116045" w:rsidP="00DB7BB0">
            <w:pPr>
              <w:ind w:firstLine="0"/>
              <w:rPr>
                <w:color w:val="FFC000"/>
                <w:sz w:val="16"/>
                <w:szCs w:val="16"/>
                <w:lang w:val="fr-FR"/>
              </w:rPr>
            </w:pPr>
            <w:r>
              <w:rPr>
                <w:color w:val="FFC000"/>
                <w:sz w:val="16"/>
                <w:szCs w:val="16"/>
                <w:lang w:val="fr-FR"/>
              </w:rPr>
              <w:t>+ charges sociales</w:t>
            </w:r>
          </w:p>
        </w:tc>
      </w:tr>
    </w:tbl>
    <w:p w:rsidR="0037745D" w:rsidRDefault="0037745D" w:rsidP="0037745D">
      <w:pPr>
        <w:rPr>
          <w:lang w:val="fr-FR"/>
        </w:rPr>
      </w:pPr>
      <w:r>
        <w:rPr>
          <w:lang w:val="fr-FR"/>
        </w:rPr>
        <w:t>L’EBE mesure la trésorerie potentielle que l’entreprise dégage de ses seules opérations d’exploitation. Il ne tient compte ni de la politique d’amortissement, ni de la politique de financement (intérêts sur emprunt), ce qui permet des comparaisons entre les entreprises.</w:t>
      </w:r>
    </w:p>
    <w:p w:rsidR="0037745D" w:rsidRDefault="0037745D" w:rsidP="0037745D">
      <w:pPr>
        <w:pStyle w:val="Titre2"/>
        <w:rPr>
          <w:lang w:val="fr-FR"/>
        </w:rPr>
      </w:pPr>
      <w:bookmarkStart w:id="6" w:name="_Toc194136966"/>
      <w:r>
        <w:rPr>
          <w:lang w:val="fr-FR"/>
        </w:rPr>
        <w:t>Le résultat d’exploitation</w:t>
      </w:r>
      <w:bookmarkEnd w:id="6"/>
    </w:p>
    <w:p w:rsidR="0037745D" w:rsidRDefault="0037745D" w:rsidP="0037745D">
      <w:pPr>
        <w:rPr>
          <w:lang w:val="fr-FR"/>
        </w:rPr>
      </w:pPr>
      <w:r>
        <w:rPr>
          <w:lang w:val="fr-FR"/>
        </w:rPr>
        <w:t xml:space="preserve">Outre les produits et les charges d’exploitation, il prend en compte la politique d’amortissement de l’entreprise. </w:t>
      </w:r>
    </w:p>
    <w:tbl>
      <w:tblPr>
        <w:tblStyle w:val="Grilledutableau"/>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604"/>
        <w:gridCol w:w="338"/>
        <w:gridCol w:w="2697"/>
        <w:gridCol w:w="338"/>
        <w:gridCol w:w="1423"/>
        <w:gridCol w:w="290"/>
        <w:gridCol w:w="1963"/>
        <w:gridCol w:w="290"/>
        <w:gridCol w:w="1345"/>
      </w:tblGrid>
      <w:tr w:rsidR="00116045" w:rsidRPr="00116045" w:rsidTr="00DB7BB0">
        <w:trPr>
          <w:jc w:val="center"/>
        </w:trPr>
        <w:tc>
          <w:tcPr>
            <w:tcW w:w="325" w:type="pct"/>
            <w:vAlign w:val="center"/>
          </w:tcPr>
          <w:p w:rsidR="00A23F7F" w:rsidRPr="00116045" w:rsidRDefault="00A23F7F" w:rsidP="00116045">
            <w:pPr>
              <w:ind w:firstLine="0"/>
              <w:jc w:val="center"/>
              <w:rPr>
                <w:color w:val="92D050"/>
                <w:lang w:val="fr-FR"/>
              </w:rPr>
            </w:pPr>
            <w:r w:rsidRPr="00116045">
              <w:rPr>
                <w:color w:val="92D050"/>
                <w:lang w:val="fr-FR"/>
              </w:rPr>
              <w:t>EBE</w:t>
            </w:r>
          </w:p>
        </w:tc>
        <w:tc>
          <w:tcPr>
            <w:tcW w:w="182" w:type="pct"/>
            <w:vAlign w:val="center"/>
          </w:tcPr>
          <w:p w:rsidR="00A23F7F" w:rsidRPr="00116045" w:rsidRDefault="00A23F7F" w:rsidP="00116045">
            <w:pPr>
              <w:ind w:firstLine="0"/>
              <w:jc w:val="center"/>
              <w:rPr>
                <w:color w:val="92D050"/>
                <w:lang w:val="fr-FR"/>
              </w:rPr>
            </w:pPr>
            <w:r w:rsidRPr="00116045">
              <w:rPr>
                <w:color w:val="92D050"/>
                <w:lang w:val="fr-FR"/>
              </w:rPr>
              <w:t>+</w:t>
            </w:r>
          </w:p>
        </w:tc>
        <w:tc>
          <w:tcPr>
            <w:tcW w:w="1452" w:type="pct"/>
            <w:vAlign w:val="center"/>
          </w:tcPr>
          <w:p w:rsidR="00A23F7F" w:rsidRPr="00116045" w:rsidRDefault="00A23F7F" w:rsidP="00116045">
            <w:pPr>
              <w:ind w:firstLine="0"/>
              <w:jc w:val="center"/>
              <w:rPr>
                <w:color w:val="92D050"/>
                <w:lang w:val="fr-FR"/>
              </w:rPr>
            </w:pPr>
            <w:r w:rsidRPr="00116045">
              <w:rPr>
                <w:color w:val="92D050"/>
                <w:lang w:val="fr-FR"/>
              </w:rPr>
              <w:t>Reprises sur DAP, transfert de charges</w:t>
            </w:r>
          </w:p>
        </w:tc>
        <w:tc>
          <w:tcPr>
            <w:tcW w:w="182" w:type="pct"/>
            <w:vAlign w:val="center"/>
          </w:tcPr>
          <w:p w:rsidR="00A23F7F" w:rsidRPr="00116045" w:rsidRDefault="00A23F7F" w:rsidP="00116045">
            <w:pPr>
              <w:ind w:firstLine="0"/>
              <w:jc w:val="center"/>
              <w:rPr>
                <w:color w:val="92D050"/>
                <w:lang w:val="fr-FR"/>
              </w:rPr>
            </w:pPr>
            <w:r w:rsidRPr="00116045">
              <w:rPr>
                <w:color w:val="92D050"/>
                <w:lang w:val="fr-FR"/>
              </w:rPr>
              <w:t>+</w:t>
            </w:r>
          </w:p>
        </w:tc>
        <w:tc>
          <w:tcPr>
            <w:tcW w:w="766" w:type="pct"/>
            <w:vAlign w:val="center"/>
          </w:tcPr>
          <w:p w:rsidR="00A23F7F" w:rsidRPr="00116045" w:rsidRDefault="00A23F7F" w:rsidP="00116045">
            <w:pPr>
              <w:ind w:firstLine="0"/>
              <w:jc w:val="center"/>
              <w:rPr>
                <w:color w:val="92D050"/>
                <w:lang w:val="fr-FR"/>
              </w:rPr>
            </w:pPr>
            <w:r w:rsidRPr="00116045">
              <w:rPr>
                <w:color w:val="92D050"/>
                <w:lang w:val="fr-FR"/>
              </w:rPr>
              <w:t>Autres produits</w:t>
            </w:r>
          </w:p>
        </w:tc>
        <w:tc>
          <w:tcPr>
            <w:tcW w:w="156" w:type="pct"/>
            <w:vAlign w:val="center"/>
          </w:tcPr>
          <w:p w:rsidR="00A23F7F" w:rsidRPr="00116045" w:rsidRDefault="00A23F7F" w:rsidP="00116045">
            <w:pPr>
              <w:ind w:firstLine="0"/>
              <w:jc w:val="center"/>
              <w:rPr>
                <w:color w:val="92D050"/>
                <w:lang w:val="fr-FR"/>
              </w:rPr>
            </w:pPr>
            <w:r w:rsidRPr="00116045">
              <w:rPr>
                <w:color w:val="92D050"/>
                <w:lang w:val="fr-FR"/>
              </w:rPr>
              <w:t>-</w:t>
            </w:r>
          </w:p>
        </w:tc>
        <w:tc>
          <w:tcPr>
            <w:tcW w:w="1057" w:type="pct"/>
            <w:vAlign w:val="center"/>
          </w:tcPr>
          <w:p w:rsidR="00A23F7F" w:rsidRPr="00116045" w:rsidRDefault="00A23F7F" w:rsidP="00116045">
            <w:pPr>
              <w:ind w:firstLine="0"/>
              <w:jc w:val="center"/>
              <w:rPr>
                <w:color w:val="92D050"/>
                <w:lang w:val="fr-FR"/>
              </w:rPr>
            </w:pPr>
            <w:r w:rsidRPr="00116045">
              <w:rPr>
                <w:color w:val="92D050"/>
                <w:lang w:val="fr-FR"/>
              </w:rPr>
              <w:t>DAP</w:t>
            </w:r>
          </w:p>
        </w:tc>
        <w:tc>
          <w:tcPr>
            <w:tcW w:w="156" w:type="pct"/>
            <w:vAlign w:val="center"/>
          </w:tcPr>
          <w:p w:rsidR="00A23F7F" w:rsidRPr="00116045" w:rsidRDefault="00A23F7F" w:rsidP="00116045">
            <w:pPr>
              <w:ind w:firstLine="0"/>
              <w:jc w:val="center"/>
              <w:rPr>
                <w:color w:val="92D050"/>
                <w:lang w:val="fr-FR"/>
              </w:rPr>
            </w:pPr>
            <w:r w:rsidRPr="00116045">
              <w:rPr>
                <w:color w:val="92D050"/>
                <w:lang w:val="fr-FR"/>
              </w:rPr>
              <w:t>-</w:t>
            </w:r>
          </w:p>
        </w:tc>
        <w:tc>
          <w:tcPr>
            <w:tcW w:w="724" w:type="pct"/>
            <w:vAlign w:val="center"/>
          </w:tcPr>
          <w:p w:rsidR="00A23F7F" w:rsidRPr="00116045" w:rsidRDefault="00A23F7F" w:rsidP="00116045">
            <w:pPr>
              <w:ind w:firstLine="0"/>
              <w:jc w:val="center"/>
              <w:rPr>
                <w:color w:val="92D050"/>
                <w:lang w:val="fr-FR"/>
              </w:rPr>
            </w:pPr>
            <w:r w:rsidRPr="00116045">
              <w:rPr>
                <w:color w:val="92D050"/>
                <w:lang w:val="fr-FR"/>
              </w:rPr>
              <w:t>Autres charges</w:t>
            </w:r>
          </w:p>
        </w:tc>
      </w:tr>
      <w:tr w:rsidR="00116045" w:rsidTr="00DB7BB0">
        <w:trPr>
          <w:jc w:val="center"/>
        </w:trPr>
        <w:tc>
          <w:tcPr>
            <w:tcW w:w="325" w:type="pct"/>
          </w:tcPr>
          <w:p w:rsidR="00116045" w:rsidRDefault="00116045" w:rsidP="0054010B">
            <w:pPr>
              <w:ind w:firstLine="0"/>
              <w:rPr>
                <w:lang w:val="fr-FR"/>
              </w:rPr>
            </w:pPr>
          </w:p>
        </w:tc>
        <w:tc>
          <w:tcPr>
            <w:tcW w:w="182" w:type="pct"/>
          </w:tcPr>
          <w:p w:rsidR="00116045" w:rsidRDefault="00116045" w:rsidP="0054010B">
            <w:pPr>
              <w:ind w:firstLine="0"/>
              <w:rPr>
                <w:lang w:val="fr-FR"/>
              </w:rPr>
            </w:pPr>
          </w:p>
        </w:tc>
        <w:tc>
          <w:tcPr>
            <w:tcW w:w="1452" w:type="pct"/>
          </w:tcPr>
          <w:p w:rsidR="00116045" w:rsidRDefault="00116045" w:rsidP="0054010B">
            <w:pPr>
              <w:ind w:firstLine="0"/>
              <w:rPr>
                <w:lang w:val="fr-FR"/>
              </w:rPr>
            </w:pPr>
          </w:p>
        </w:tc>
        <w:tc>
          <w:tcPr>
            <w:tcW w:w="182" w:type="pct"/>
          </w:tcPr>
          <w:p w:rsidR="00116045" w:rsidRDefault="00116045" w:rsidP="0054010B">
            <w:pPr>
              <w:ind w:firstLine="0"/>
              <w:rPr>
                <w:lang w:val="fr-FR"/>
              </w:rPr>
            </w:pPr>
          </w:p>
        </w:tc>
        <w:tc>
          <w:tcPr>
            <w:tcW w:w="766" w:type="pct"/>
          </w:tcPr>
          <w:p w:rsidR="00116045" w:rsidRDefault="00116045" w:rsidP="0054010B">
            <w:pPr>
              <w:ind w:firstLine="0"/>
              <w:rPr>
                <w:lang w:val="fr-FR"/>
              </w:rPr>
            </w:pPr>
          </w:p>
        </w:tc>
        <w:tc>
          <w:tcPr>
            <w:tcW w:w="156" w:type="pct"/>
          </w:tcPr>
          <w:p w:rsidR="00116045" w:rsidRDefault="00116045" w:rsidP="0054010B">
            <w:pPr>
              <w:ind w:firstLine="0"/>
              <w:rPr>
                <w:lang w:val="fr-FR"/>
              </w:rPr>
            </w:pPr>
          </w:p>
        </w:tc>
        <w:tc>
          <w:tcPr>
            <w:tcW w:w="1057" w:type="pct"/>
          </w:tcPr>
          <w:p w:rsidR="00116045" w:rsidRPr="00116045" w:rsidRDefault="00116045" w:rsidP="00DB7BB0">
            <w:pPr>
              <w:ind w:firstLine="0"/>
              <w:rPr>
                <w:color w:val="FFC000"/>
                <w:sz w:val="16"/>
                <w:szCs w:val="16"/>
                <w:lang w:val="fr-FR"/>
              </w:rPr>
            </w:pPr>
            <w:r w:rsidRPr="00116045">
              <w:rPr>
                <w:color w:val="FFC000"/>
                <w:sz w:val="16"/>
                <w:szCs w:val="16"/>
                <w:lang w:val="fr-FR"/>
              </w:rPr>
              <w:t>= dotations aux amortissements</w:t>
            </w:r>
          </w:p>
          <w:p w:rsidR="00116045" w:rsidRPr="00116045" w:rsidRDefault="00116045" w:rsidP="00DB7BB0">
            <w:pPr>
              <w:ind w:firstLine="0"/>
              <w:rPr>
                <w:color w:val="FFC000"/>
                <w:sz w:val="16"/>
                <w:szCs w:val="16"/>
                <w:lang w:val="fr-FR"/>
              </w:rPr>
            </w:pPr>
            <w:r w:rsidRPr="00116045">
              <w:rPr>
                <w:color w:val="FFC000"/>
                <w:sz w:val="16"/>
                <w:szCs w:val="16"/>
                <w:lang w:val="fr-FR"/>
              </w:rPr>
              <w:t>+ dotations aux dépréciations</w:t>
            </w:r>
          </w:p>
          <w:p w:rsidR="00116045" w:rsidRPr="00116045" w:rsidRDefault="00116045" w:rsidP="00DB7BB0">
            <w:pPr>
              <w:ind w:firstLine="0"/>
              <w:rPr>
                <w:color w:val="FFC000"/>
                <w:sz w:val="16"/>
                <w:szCs w:val="16"/>
                <w:lang w:val="fr-FR"/>
              </w:rPr>
            </w:pPr>
            <w:r w:rsidRPr="00116045">
              <w:rPr>
                <w:color w:val="FFC000"/>
                <w:sz w:val="16"/>
                <w:szCs w:val="16"/>
                <w:lang w:val="fr-FR"/>
              </w:rPr>
              <w:t>+ dotations aux provisions</w:t>
            </w:r>
          </w:p>
        </w:tc>
        <w:tc>
          <w:tcPr>
            <w:tcW w:w="156" w:type="pct"/>
          </w:tcPr>
          <w:p w:rsidR="00116045" w:rsidRDefault="00116045" w:rsidP="0054010B">
            <w:pPr>
              <w:ind w:firstLine="0"/>
              <w:rPr>
                <w:lang w:val="fr-FR"/>
              </w:rPr>
            </w:pPr>
          </w:p>
        </w:tc>
        <w:tc>
          <w:tcPr>
            <w:tcW w:w="724" w:type="pct"/>
          </w:tcPr>
          <w:p w:rsidR="00116045" w:rsidRDefault="00116045" w:rsidP="0054010B">
            <w:pPr>
              <w:ind w:firstLine="0"/>
              <w:rPr>
                <w:lang w:val="fr-FR"/>
              </w:rPr>
            </w:pPr>
          </w:p>
        </w:tc>
      </w:tr>
    </w:tbl>
    <w:p w:rsidR="0037745D" w:rsidRPr="0004001D" w:rsidRDefault="0004001D" w:rsidP="0037745D">
      <w:pPr>
        <w:rPr>
          <w:color w:val="FF0000"/>
          <w:lang w:val="fr-FR"/>
        </w:rPr>
      </w:pPr>
      <w:r w:rsidRPr="0004001D">
        <w:rPr>
          <w:color w:val="FF0000"/>
          <w:lang w:val="fr-FR"/>
        </w:rPr>
        <w:t>Attention : on exclut les comptes 655 et 755 des autres charges / autres produits. En effet, ces comptes correspondent aux bénéfices ou pertes provenant de l’exploitation d’une autre entité parallèle à l’activité principale.</w:t>
      </w:r>
    </w:p>
    <w:p w:rsidR="0004001D" w:rsidRDefault="0004001D" w:rsidP="0037745D">
      <w:pPr>
        <w:rPr>
          <w:lang w:val="fr-FR"/>
        </w:rPr>
      </w:pPr>
      <w:r>
        <w:rPr>
          <w:lang w:val="fr-FR"/>
        </w:rPr>
        <w:t xml:space="preserve">Le résultat d’exploitation est intéressant  pour les entreprises industrielles qui doivent réaliser des investissements lourds, et qui ont un poste dotation aux amortissements important. Dans ce cas de figure, il est nécessaire de connaître le résultat net d’amortissement. </w:t>
      </w:r>
    </w:p>
    <w:p w:rsidR="009978BA" w:rsidRDefault="009978BA" w:rsidP="0004001D">
      <w:pPr>
        <w:rPr>
          <w:lang w:val="fr-FR"/>
        </w:rPr>
        <w:sectPr w:rsidR="009978BA" w:rsidSect="00BC4F44">
          <w:pgSz w:w="11906" w:h="16838"/>
          <w:pgMar w:top="1417" w:right="1417" w:bottom="1417" w:left="1417" w:header="708" w:footer="708" w:gutter="0"/>
          <w:cols w:space="708"/>
          <w:docGrid w:linePitch="360"/>
        </w:sectPr>
      </w:pPr>
    </w:p>
    <w:p w:rsidR="0004001D" w:rsidRDefault="0004001D" w:rsidP="0004001D">
      <w:pPr>
        <w:rPr>
          <w:lang w:val="fr-FR"/>
        </w:rPr>
      </w:pPr>
      <w:r>
        <w:rPr>
          <w:lang w:val="fr-FR"/>
        </w:rPr>
        <w:lastRenderedPageBreak/>
        <w:t>Le résultat d’exploitation donne une mesure de la capacité des capitaux à dégager de la marge d’exploitation. Il est donc utilisé pour estimer la rentabilité et la profitabilité économique de l’entreprise.</w:t>
      </w:r>
    </w:p>
    <w:p w:rsidR="0004001D" w:rsidRPr="00A23F7F" w:rsidRDefault="0004001D" w:rsidP="0004001D">
      <w:pPr>
        <w:rPr>
          <w:rFonts w:eastAsiaTheme="minorEastAsia"/>
          <w:lang w:val="fr-FR"/>
        </w:rPr>
      </w:pPr>
      <m:oMathPara>
        <m:oMath>
          <m:r>
            <w:rPr>
              <w:rFonts w:ascii="Cambria Math" w:hAnsi="Cambria Math"/>
              <w:lang w:val="fr-FR"/>
            </w:rPr>
            <m:t>profitabilité=</m:t>
          </m:r>
          <m:f>
            <m:fPr>
              <m:ctrlPr>
                <w:rPr>
                  <w:rFonts w:ascii="Cambria Math" w:hAnsi="Cambria Math"/>
                  <w:i/>
                  <w:lang w:val="fr-FR"/>
                </w:rPr>
              </m:ctrlPr>
            </m:fPr>
            <m:num>
              <m:r>
                <w:rPr>
                  <w:rFonts w:ascii="Cambria Math" w:hAnsi="Cambria Math"/>
                  <w:lang w:val="fr-FR"/>
                </w:rPr>
                <m:t>marge d'exploitation</m:t>
              </m:r>
            </m:num>
            <m:den>
              <m:r>
                <w:rPr>
                  <w:rFonts w:ascii="Cambria Math" w:hAnsi="Cambria Math"/>
                  <w:lang w:val="fr-FR"/>
                </w:rPr>
                <m:t>chiffre d'affaire</m:t>
              </m:r>
            </m:den>
          </m:f>
        </m:oMath>
      </m:oMathPara>
    </w:p>
    <w:p w:rsidR="0004001D" w:rsidRDefault="0004001D" w:rsidP="0004001D">
      <w:pPr>
        <w:rPr>
          <w:rFonts w:eastAsiaTheme="minorEastAsia"/>
          <w:lang w:val="fr-FR"/>
        </w:rPr>
      </w:pPr>
      <m:oMathPara>
        <m:oMath>
          <m:r>
            <w:rPr>
              <w:rFonts w:ascii="Cambria Math" w:hAnsi="Cambria Math"/>
              <w:lang w:val="fr-FR"/>
            </w:rPr>
            <m:t xml:space="preserve">rentabilité= </m:t>
          </m:r>
          <m:f>
            <m:fPr>
              <m:ctrlPr>
                <w:rPr>
                  <w:rFonts w:ascii="Cambria Math" w:hAnsi="Cambria Math"/>
                  <w:i/>
                  <w:lang w:val="fr-FR"/>
                </w:rPr>
              </m:ctrlPr>
            </m:fPr>
            <m:num>
              <m:r>
                <w:rPr>
                  <w:rFonts w:ascii="Cambria Math" w:hAnsi="Cambria Math"/>
                  <w:lang w:val="fr-FR"/>
                </w:rPr>
                <m:t>marge d'exploitation</m:t>
              </m:r>
            </m:num>
            <m:den>
              <m:r>
                <w:rPr>
                  <w:rFonts w:ascii="Cambria Math" w:hAnsi="Cambria Math"/>
                  <w:lang w:val="fr-FR"/>
                </w:rPr>
                <m:t>capitaux investis</m:t>
              </m:r>
            </m:den>
          </m:f>
        </m:oMath>
      </m:oMathPara>
    </w:p>
    <w:p w:rsidR="00A23F7F" w:rsidRDefault="00A23F7F" w:rsidP="0004001D">
      <w:pPr>
        <w:rPr>
          <w:rFonts w:eastAsiaTheme="minorEastAsia"/>
          <w:lang w:val="fr-FR"/>
        </w:rPr>
      </w:pPr>
      <w:r>
        <w:rPr>
          <w:rFonts w:eastAsiaTheme="minorEastAsia"/>
          <w:lang w:val="fr-FR"/>
        </w:rPr>
        <w:t xml:space="preserve">Contrairement à la rentabilité, la profitabilité seule ne permet pas de conclure sur la performance de l’entreprise. </w:t>
      </w:r>
    </w:p>
    <w:p w:rsidR="00A23F7F" w:rsidRDefault="00A23F7F" w:rsidP="0004001D">
      <w:pPr>
        <w:rPr>
          <w:rFonts w:eastAsiaTheme="minorEastAsia"/>
          <w:lang w:val="fr-FR"/>
        </w:rPr>
      </w:pPr>
      <w:r>
        <w:rPr>
          <w:rFonts w:eastAsiaTheme="minorEastAsia"/>
          <w:lang w:val="fr-FR"/>
        </w:rPr>
        <w:t>Le résultat d’exploitation présente deux inconvénients. Il est influencé par la politique d’amortissement de l’entreprise, ce qui empêche les comparaisons interentreprises. Il ne désigne pas la trésorerie disponible, puisqu’il incorpore des DAP et RAP qui ne sont ni encaissables ni décaissables.</w:t>
      </w:r>
    </w:p>
    <w:p w:rsidR="00A23F7F" w:rsidRDefault="00A23F7F" w:rsidP="00A23F7F">
      <w:pPr>
        <w:pStyle w:val="Titre2"/>
        <w:rPr>
          <w:lang w:val="fr-FR"/>
        </w:rPr>
      </w:pPr>
      <w:bookmarkStart w:id="7" w:name="_Toc194136967"/>
      <w:r>
        <w:rPr>
          <w:lang w:val="fr-FR"/>
        </w:rPr>
        <w:t>Le résultat courant avant impôt</w:t>
      </w:r>
      <w:bookmarkEnd w:id="7"/>
    </w:p>
    <w:p w:rsidR="00A23F7F" w:rsidRDefault="00A23F7F" w:rsidP="00A23F7F">
      <w:pPr>
        <w:rPr>
          <w:lang w:val="fr-FR"/>
        </w:rPr>
      </w:pPr>
      <w:r>
        <w:rPr>
          <w:lang w:val="fr-FR"/>
        </w:rPr>
        <w:t>Pour son calcul, on prend en compte toutes les opérations courantes de l’entreprise.</w:t>
      </w:r>
    </w:p>
    <w:tbl>
      <w:tblPr>
        <w:tblStyle w:val="Grilledutableau"/>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1913"/>
        <w:gridCol w:w="338"/>
        <w:gridCol w:w="3212"/>
        <w:gridCol w:w="338"/>
        <w:gridCol w:w="1559"/>
        <w:gridCol w:w="290"/>
        <w:gridCol w:w="1638"/>
      </w:tblGrid>
      <w:tr w:rsidR="00116045" w:rsidRPr="00116045" w:rsidTr="00DB7BB0">
        <w:trPr>
          <w:jc w:val="center"/>
        </w:trPr>
        <w:tc>
          <w:tcPr>
            <w:tcW w:w="1030" w:type="pct"/>
            <w:vAlign w:val="center"/>
          </w:tcPr>
          <w:p w:rsidR="00A23F7F" w:rsidRPr="00116045" w:rsidRDefault="00A23F7F" w:rsidP="00116045">
            <w:pPr>
              <w:ind w:firstLine="0"/>
              <w:jc w:val="center"/>
              <w:rPr>
                <w:color w:val="92D050"/>
                <w:lang w:val="fr-FR"/>
              </w:rPr>
            </w:pPr>
            <w:r w:rsidRPr="00116045">
              <w:rPr>
                <w:color w:val="92D050"/>
                <w:lang w:val="fr-FR"/>
              </w:rPr>
              <w:t>Résultat d’exploitation</w:t>
            </w:r>
          </w:p>
        </w:tc>
        <w:tc>
          <w:tcPr>
            <w:tcW w:w="182" w:type="pct"/>
            <w:vAlign w:val="center"/>
          </w:tcPr>
          <w:p w:rsidR="00A23F7F" w:rsidRPr="00116045" w:rsidRDefault="00A23F7F" w:rsidP="00116045">
            <w:pPr>
              <w:ind w:firstLine="0"/>
              <w:jc w:val="center"/>
              <w:rPr>
                <w:color w:val="92D050"/>
                <w:lang w:val="fr-FR"/>
              </w:rPr>
            </w:pPr>
            <w:r w:rsidRPr="00116045">
              <w:rPr>
                <w:color w:val="92D050"/>
                <w:lang w:val="fr-FR"/>
              </w:rPr>
              <w:t>+</w:t>
            </w:r>
          </w:p>
        </w:tc>
        <w:tc>
          <w:tcPr>
            <w:tcW w:w="1729" w:type="pct"/>
            <w:vAlign w:val="center"/>
          </w:tcPr>
          <w:p w:rsidR="00A23F7F" w:rsidRPr="00116045" w:rsidRDefault="00A23F7F" w:rsidP="00116045">
            <w:pPr>
              <w:ind w:firstLine="0"/>
              <w:jc w:val="center"/>
              <w:rPr>
                <w:color w:val="92D050"/>
                <w:lang w:val="fr-FR"/>
              </w:rPr>
            </w:pPr>
            <w:r w:rsidRPr="00116045">
              <w:rPr>
                <w:color w:val="92D050"/>
                <w:lang w:val="fr-FR"/>
              </w:rPr>
              <w:t>Quotepart de résultat sur opérations faites en commun</w:t>
            </w:r>
          </w:p>
        </w:tc>
        <w:tc>
          <w:tcPr>
            <w:tcW w:w="182" w:type="pct"/>
            <w:vAlign w:val="center"/>
          </w:tcPr>
          <w:p w:rsidR="00A23F7F" w:rsidRPr="00116045" w:rsidRDefault="00A23F7F" w:rsidP="00116045">
            <w:pPr>
              <w:ind w:firstLine="0"/>
              <w:jc w:val="center"/>
              <w:rPr>
                <w:color w:val="92D050"/>
                <w:lang w:val="fr-FR"/>
              </w:rPr>
            </w:pPr>
            <w:r w:rsidRPr="00116045">
              <w:rPr>
                <w:color w:val="92D050"/>
                <w:lang w:val="fr-FR"/>
              </w:rPr>
              <w:t>+</w:t>
            </w:r>
          </w:p>
        </w:tc>
        <w:tc>
          <w:tcPr>
            <w:tcW w:w="839" w:type="pct"/>
            <w:vAlign w:val="center"/>
          </w:tcPr>
          <w:p w:rsidR="00A23F7F" w:rsidRPr="00116045" w:rsidRDefault="00A23F7F" w:rsidP="00116045">
            <w:pPr>
              <w:ind w:firstLine="0"/>
              <w:jc w:val="center"/>
              <w:rPr>
                <w:color w:val="92D050"/>
                <w:lang w:val="fr-FR"/>
              </w:rPr>
            </w:pPr>
            <w:r w:rsidRPr="00116045">
              <w:rPr>
                <w:color w:val="92D050"/>
                <w:lang w:val="fr-FR"/>
              </w:rPr>
              <w:t>Produits financiers</w:t>
            </w:r>
          </w:p>
        </w:tc>
        <w:tc>
          <w:tcPr>
            <w:tcW w:w="156" w:type="pct"/>
            <w:vAlign w:val="center"/>
          </w:tcPr>
          <w:p w:rsidR="00A23F7F" w:rsidRPr="00116045" w:rsidRDefault="00A23F7F" w:rsidP="00116045">
            <w:pPr>
              <w:ind w:firstLine="0"/>
              <w:jc w:val="center"/>
              <w:rPr>
                <w:color w:val="92D050"/>
                <w:lang w:val="fr-FR"/>
              </w:rPr>
            </w:pPr>
            <w:r w:rsidRPr="00116045">
              <w:rPr>
                <w:color w:val="92D050"/>
                <w:lang w:val="fr-FR"/>
              </w:rPr>
              <w:t>-</w:t>
            </w:r>
          </w:p>
        </w:tc>
        <w:tc>
          <w:tcPr>
            <w:tcW w:w="883" w:type="pct"/>
            <w:vAlign w:val="center"/>
          </w:tcPr>
          <w:p w:rsidR="00A23F7F" w:rsidRPr="00116045" w:rsidRDefault="00A23F7F" w:rsidP="00116045">
            <w:pPr>
              <w:ind w:firstLine="0"/>
              <w:jc w:val="center"/>
              <w:rPr>
                <w:color w:val="92D050"/>
                <w:lang w:val="fr-FR"/>
              </w:rPr>
            </w:pPr>
            <w:r w:rsidRPr="00116045">
              <w:rPr>
                <w:color w:val="92D050"/>
                <w:lang w:val="fr-FR"/>
              </w:rPr>
              <w:t>Charges financières</w:t>
            </w:r>
          </w:p>
        </w:tc>
      </w:tr>
    </w:tbl>
    <w:p w:rsidR="00DB7BB0" w:rsidRDefault="00DB7BB0" w:rsidP="00DB7BB0">
      <w:pPr>
        <w:rPr>
          <w:lang w:val="fr-FR"/>
        </w:rPr>
      </w:pPr>
      <w:r>
        <w:rPr>
          <w:lang w:val="fr-FR"/>
        </w:rPr>
        <w:t>Cet indicateur mesure la performance régulière de l’entreprise, c'est-à-dire la rentabilité financière sur laquelle l’investisseur peut espérer toucher des dividendes. La mesure est cependant peu intéressante, car elle intègre des produits et des charges financière très hétérogènes.</w:t>
      </w:r>
    </w:p>
    <w:p w:rsidR="00DB7BB0" w:rsidRDefault="00DB7BB0" w:rsidP="00DB7BB0">
      <w:pPr>
        <w:pStyle w:val="Titre2"/>
        <w:rPr>
          <w:lang w:val="fr-FR"/>
        </w:rPr>
      </w:pPr>
      <w:bookmarkStart w:id="8" w:name="_Toc194136968"/>
      <w:r>
        <w:rPr>
          <w:lang w:val="fr-FR"/>
        </w:rPr>
        <w:t>Le résultat exceptionnel</w:t>
      </w:r>
      <w:bookmarkEnd w:id="8"/>
    </w:p>
    <w:tbl>
      <w:tblPr>
        <w:tblStyle w:val="Grilledutableau"/>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239"/>
        <w:gridCol w:w="604"/>
        <w:gridCol w:w="4445"/>
      </w:tblGrid>
      <w:tr w:rsidR="00195CE3" w:rsidRPr="00116045" w:rsidTr="00195CE3">
        <w:trPr>
          <w:jc w:val="center"/>
        </w:trPr>
        <w:tc>
          <w:tcPr>
            <w:tcW w:w="2282" w:type="pct"/>
            <w:vAlign w:val="center"/>
          </w:tcPr>
          <w:p w:rsidR="00195CE3" w:rsidRPr="00116045" w:rsidRDefault="00195CE3" w:rsidP="0054010B">
            <w:pPr>
              <w:ind w:firstLine="0"/>
              <w:jc w:val="center"/>
              <w:rPr>
                <w:color w:val="92D050"/>
                <w:lang w:val="fr-FR"/>
              </w:rPr>
            </w:pPr>
            <w:r>
              <w:rPr>
                <w:color w:val="92D050"/>
                <w:lang w:val="fr-FR"/>
              </w:rPr>
              <w:t>Produits exceptionnels</w:t>
            </w:r>
          </w:p>
        </w:tc>
        <w:tc>
          <w:tcPr>
            <w:tcW w:w="325" w:type="pct"/>
            <w:vAlign w:val="center"/>
          </w:tcPr>
          <w:p w:rsidR="00195CE3" w:rsidRPr="00116045" w:rsidRDefault="00195CE3" w:rsidP="0054010B">
            <w:pPr>
              <w:ind w:firstLine="0"/>
              <w:jc w:val="center"/>
              <w:rPr>
                <w:color w:val="92D050"/>
                <w:lang w:val="fr-FR"/>
              </w:rPr>
            </w:pPr>
            <w:r w:rsidRPr="00116045">
              <w:rPr>
                <w:color w:val="92D050"/>
                <w:lang w:val="fr-FR"/>
              </w:rPr>
              <w:t>+</w:t>
            </w:r>
          </w:p>
        </w:tc>
        <w:tc>
          <w:tcPr>
            <w:tcW w:w="2393" w:type="pct"/>
            <w:vAlign w:val="center"/>
          </w:tcPr>
          <w:p w:rsidR="00195CE3" w:rsidRPr="00116045" w:rsidRDefault="00195CE3" w:rsidP="0054010B">
            <w:pPr>
              <w:ind w:firstLine="0"/>
              <w:jc w:val="center"/>
              <w:rPr>
                <w:color w:val="92D050"/>
                <w:lang w:val="fr-FR"/>
              </w:rPr>
            </w:pPr>
            <w:r>
              <w:rPr>
                <w:color w:val="92D050"/>
                <w:lang w:val="fr-FR"/>
              </w:rPr>
              <w:t>Charges exceptionnelles</w:t>
            </w:r>
          </w:p>
        </w:tc>
      </w:tr>
    </w:tbl>
    <w:p w:rsidR="00A23F7F" w:rsidRDefault="00195CE3" w:rsidP="00A23F7F">
      <w:pPr>
        <w:rPr>
          <w:lang w:val="fr-FR"/>
        </w:rPr>
      </w:pPr>
      <w:r>
        <w:rPr>
          <w:lang w:val="fr-FR"/>
        </w:rPr>
        <w:t xml:space="preserve">On isole cette mesure pour ne pas qu’elle nuise aux analyses des performances. Cet indicateur est peu intéressant dans la mesure </w:t>
      </w:r>
      <w:r w:rsidR="003A19AA">
        <w:rPr>
          <w:lang w:val="fr-FR"/>
        </w:rPr>
        <w:t>où</w:t>
      </w:r>
      <w:r>
        <w:rPr>
          <w:lang w:val="fr-FR"/>
        </w:rPr>
        <w:t xml:space="preserve"> il ne prend en compte que des produits et des charges anormaux.</w:t>
      </w:r>
    </w:p>
    <w:p w:rsidR="00195CE3" w:rsidRDefault="00195CE3" w:rsidP="00195CE3">
      <w:pPr>
        <w:pStyle w:val="Titre2"/>
        <w:rPr>
          <w:lang w:val="fr-FR"/>
        </w:rPr>
      </w:pPr>
      <w:bookmarkStart w:id="9" w:name="_Toc194136969"/>
      <w:r>
        <w:rPr>
          <w:lang w:val="fr-FR"/>
        </w:rPr>
        <w:t>Le résultat de l’exercice</w:t>
      </w:r>
      <w:bookmarkEnd w:id="9"/>
    </w:p>
    <w:tbl>
      <w:tblPr>
        <w:tblStyle w:val="Grilledutableau"/>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2277"/>
        <w:gridCol w:w="339"/>
        <w:gridCol w:w="1963"/>
        <w:gridCol w:w="290"/>
        <w:gridCol w:w="2188"/>
        <w:gridCol w:w="290"/>
        <w:gridCol w:w="1941"/>
      </w:tblGrid>
      <w:tr w:rsidR="00195CE3" w:rsidRPr="00116045" w:rsidTr="00195CE3">
        <w:trPr>
          <w:jc w:val="center"/>
        </w:trPr>
        <w:tc>
          <w:tcPr>
            <w:tcW w:w="1225" w:type="pct"/>
            <w:vAlign w:val="center"/>
          </w:tcPr>
          <w:p w:rsidR="00195CE3" w:rsidRPr="00116045" w:rsidRDefault="00195CE3" w:rsidP="00195CE3">
            <w:pPr>
              <w:ind w:firstLine="0"/>
              <w:jc w:val="center"/>
              <w:rPr>
                <w:color w:val="92D050"/>
                <w:lang w:val="fr-FR"/>
              </w:rPr>
            </w:pPr>
            <w:r w:rsidRPr="00116045">
              <w:rPr>
                <w:color w:val="92D050"/>
                <w:lang w:val="fr-FR"/>
              </w:rPr>
              <w:t xml:space="preserve">Résultat </w:t>
            </w:r>
            <w:r>
              <w:rPr>
                <w:color w:val="92D050"/>
                <w:lang w:val="fr-FR"/>
              </w:rPr>
              <w:t>courant avant impôt</w:t>
            </w:r>
          </w:p>
        </w:tc>
        <w:tc>
          <w:tcPr>
            <w:tcW w:w="182" w:type="pct"/>
            <w:vAlign w:val="center"/>
          </w:tcPr>
          <w:p w:rsidR="00195CE3" w:rsidRPr="00116045" w:rsidRDefault="00195CE3" w:rsidP="0054010B">
            <w:pPr>
              <w:ind w:firstLine="0"/>
              <w:jc w:val="center"/>
              <w:rPr>
                <w:color w:val="92D050"/>
                <w:lang w:val="fr-FR"/>
              </w:rPr>
            </w:pPr>
            <w:r w:rsidRPr="00116045">
              <w:rPr>
                <w:color w:val="92D050"/>
                <w:lang w:val="fr-FR"/>
              </w:rPr>
              <w:t>+</w:t>
            </w:r>
          </w:p>
        </w:tc>
        <w:tc>
          <w:tcPr>
            <w:tcW w:w="1057" w:type="pct"/>
            <w:vAlign w:val="center"/>
          </w:tcPr>
          <w:p w:rsidR="00195CE3" w:rsidRPr="00116045" w:rsidRDefault="00195CE3" w:rsidP="0054010B">
            <w:pPr>
              <w:ind w:firstLine="0"/>
              <w:jc w:val="center"/>
              <w:rPr>
                <w:color w:val="92D050"/>
                <w:lang w:val="fr-FR"/>
              </w:rPr>
            </w:pPr>
            <w:r>
              <w:rPr>
                <w:color w:val="92D050"/>
                <w:lang w:val="fr-FR"/>
              </w:rPr>
              <w:t>Résultat exceptionnel</w:t>
            </w:r>
          </w:p>
        </w:tc>
        <w:tc>
          <w:tcPr>
            <w:tcW w:w="156" w:type="pct"/>
            <w:vAlign w:val="center"/>
          </w:tcPr>
          <w:p w:rsidR="00195CE3" w:rsidRPr="00116045" w:rsidRDefault="00195CE3" w:rsidP="0054010B">
            <w:pPr>
              <w:ind w:firstLine="0"/>
              <w:jc w:val="center"/>
              <w:rPr>
                <w:color w:val="92D050"/>
                <w:lang w:val="fr-FR"/>
              </w:rPr>
            </w:pPr>
            <w:r>
              <w:rPr>
                <w:color w:val="92D050"/>
                <w:lang w:val="fr-FR"/>
              </w:rPr>
              <w:t>-</w:t>
            </w:r>
          </w:p>
        </w:tc>
        <w:tc>
          <w:tcPr>
            <w:tcW w:w="1178" w:type="pct"/>
            <w:vAlign w:val="center"/>
          </w:tcPr>
          <w:p w:rsidR="00195CE3" w:rsidRPr="00116045" w:rsidRDefault="00195CE3" w:rsidP="0054010B">
            <w:pPr>
              <w:ind w:firstLine="0"/>
              <w:jc w:val="center"/>
              <w:rPr>
                <w:color w:val="92D050"/>
                <w:lang w:val="fr-FR"/>
              </w:rPr>
            </w:pPr>
            <w:r>
              <w:rPr>
                <w:color w:val="92D050"/>
                <w:lang w:val="fr-FR"/>
              </w:rPr>
              <w:t>Participation des salariés</w:t>
            </w:r>
          </w:p>
        </w:tc>
        <w:tc>
          <w:tcPr>
            <w:tcW w:w="156" w:type="pct"/>
            <w:vAlign w:val="center"/>
          </w:tcPr>
          <w:p w:rsidR="00195CE3" w:rsidRPr="00116045" w:rsidRDefault="00195CE3" w:rsidP="0054010B">
            <w:pPr>
              <w:ind w:firstLine="0"/>
              <w:jc w:val="center"/>
              <w:rPr>
                <w:color w:val="92D050"/>
                <w:lang w:val="fr-FR"/>
              </w:rPr>
            </w:pPr>
            <w:r w:rsidRPr="00116045">
              <w:rPr>
                <w:color w:val="92D050"/>
                <w:lang w:val="fr-FR"/>
              </w:rPr>
              <w:t>-</w:t>
            </w:r>
          </w:p>
        </w:tc>
        <w:tc>
          <w:tcPr>
            <w:tcW w:w="1045" w:type="pct"/>
            <w:vAlign w:val="center"/>
          </w:tcPr>
          <w:p w:rsidR="00195CE3" w:rsidRPr="00116045" w:rsidRDefault="00195CE3" w:rsidP="0054010B">
            <w:pPr>
              <w:ind w:firstLine="0"/>
              <w:jc w:val="center"/>
              <w:rPr>
                <w:color w:val="92D050"/>
                <w:lang w:val="fr-FR"/>
              </w:rPr>
            </w:pPr>
            <w:r>
              <w:rPr>
                <w:color w:val="92D050"/>
                <w:lang w:val="fr-FR"/>
              </w:rPr>
              <w:t>Impôt sur les bénéfices</w:t>
            </w:r>
          </w:p>
        </w:tc>
      </w:tr>
    </w:tbl>
    <w:p w:rsidR="00195CE3" w:rsidRDefault="00195CE3" w:rsidP="00195CE3">
      <w:pPr>
        <w:rPr>
          <w:lang w:val="fr-FR"/>
        </w:rPr>
      </w:pPr>
      <w:r>
        <w:rPr>
          <w:lang w:val="fr-FR"/>
        </w:rPr>
        <w:t>C’est le résultat final, qui correspond à celui du compte de résultat.</w:t>
      </w:r>
    </w:p>
    <w:p w:rsidR="00195CE3" w:rsidRDefault="00195CE3" w:rsidP="00195CE3">
      <w:pPr>
        <w:pStyle w:val="Titre2"/>
        <w:rPr>
          <w:lang w:val="fr-FR"/>
        </w:rPr>
      </w:pPr>
      <w:bookmarkStart w:id="10" w:name="_Toc194136970"/>
      <w:r>
        <w:rPr>
          <w:lang w:val="fr-FR"/>
        </w:rPr>
        <w:t>Plus-values ou moins-values de cessions</w:t>
      </w:r>
      <w:bookmarkEnd w:id="10"/>
    </w:p>
    <w:tbl>
      <w:tblPr>
        <w:tblStyle w:val="Grilledutableau"/>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239"/>
        <w:gridCol w:w="604"/>
        <w:gridCol w:w="4445"/>
      </w:tblGrid>
      <w:tr w:rsidR="00195CE3" w:rsidRPr="00116045" w:rsidTr="0054010B">
        <w:trPr>
          <w:jc w:val="center"/>
        </w:trPr>
        <w:tc>
          <w:tcPr>
            <w:tcW w:w="2282" w:type="pct"/>
            <w:vAlign w:val="center"/>
          </w:tcPr>
          <w:p w:rsidR="00195CE3" w:rsidRPr="00116045" w:rsidRDefault="00195CE3" w:rsidP="00195CE3">
            <w:pPr>
              <w:ind w:firstLine="0"/>
              <w:jc w:val="center"/>
              <w:rPr>
                <w:color w:val="92D050"/>
                <w:lang w:val="fr-FR"/>
              </w:rPr>
            </w:pPr>
            <w:r>
              <w:rPr>
                <w:lang w:val="fr-FR"/>
              </w:rPr>
              <w:t xml:space="preserve"> </w:t>
            </w:r>
            <w:r>
              <w:rPr>
                <w:color w:val="92D050"/>
                <w:lang w:val="fr-FR"/>
              </w:rPr>
              <w:t>Produits de cession d’éléments d’actif</w:t>
            </w:r>
          </w:p>
        </w:tc>
        <w:tc>
          <w:tcPr>
            <w:tcW w:w="325" w:type="pct"/>
            <w:vAlign w:val="center"/>
          </w:tcPr>
          <w:p w:rsidR="00195CE3" w:rsidRPr="00116045" w:rsidRDefault="00195CE3" w:rsidP="0054010B">
            <w:pPr>
              <w:ind w:firstLine="0"/>
              <w:jc w:val="center"/>
              <w:rPr>
                <w:color w:val="92D050"/>
                <w:lang w:val="fr-FR"/>
              </w:rPr>
            </w:pPr>
            <w:r>
              <w:rPr>
                <w:color w:val="92D050"/>
                <w:lang w:val="fr-FR"/>
              </w:rPr>
              <w:t>-</w:t>
            </w:r>
          </w:p>
        </w:tc>
        <w:tc>
          <w:tcPr>
            <w:tcW w:w="2393" w:type="pct"/>
            <w:vAlign w:val="center"/>
          </w:tcPr>
          <w:p w:rsidR="00195CE3" w:rsidRPr="00116045" w:rsidRDefault="00195CE3" w:rsidP="0054010B">
            <w:pPr>
              <w:ind w:firstLine="0"/>
              <w:jc w:val="center"/>
              <w:rPr>
                <w:color w:val="92D050"/>
                <w:lang w:val="fr-FR"/>
              </w:rPr>
            </w:pPr>
            <w:r>
              <w:rPr>
                <w:color w:val="92D050"/>
                <w:lang w:val="fr-FR"/>
              </w:rPr>
              <w:t>Valeurs comptables des éléments d’actif cédés</w:t>
            </w:r>
          </w:p>
        </w:tc>
      </w:tr>
    </w:tbl>
    <w:p w:rsidR="00195CE3" w:rsidRDefault="00195CE3" w:rsidP="00195CE3">
      <w:pPr>
        <w:rPr>
          <w:lang w:val="fr-FR"/>
        </w:rPr>
      </w:pPr>
      <w:r>
        <w:rPr>
          <w:lang w:val="fr-FR"/>
        </w:rPr>
        <w:t>Cet indicateur correspond à la différence des soldes des comptes 775 et 675. Il permet d’évaluer la politique de cession de l’entreprise.</w:t>
      </w:r>
    </w:p>
    <w:p w:rsidR="009978BA" w:rsidRDefault="009978BA" w:rsidP="00195CE3">
      <w:pPr>
        <w:pStyle w:val="Titre1"/>
        <w:rPr>
          <w:lang w:val="fr-FR"/>
        </w:rPr>
        <w:sectPr w:rsidR="009978BA" w:rsidSect="00BC4F44">
          <w:pgSz w:w="11906" w:h="16838"/>
          <w:pgMar w:top="1417" w:right="1417" w:bottom="1417" w:left="1417" w:header="708" w:footer="708" w:gutter="0"/>
          <w:cols w:space="708"/>
          <w:docGrid w:linePitch="360"/>
        </w:sectPr>
      </w:pPr>
      <w:bookmarkStart w:id="11" w:name="_Toc194136971"/>
    </w:p>
    <w:p w:rsidR="00195CE3" w:rsidRDefault="00195CE3" w:rsidP="00195CE3">
      <w:pPr>
        <w:pStyle w:val="Titre1"/>
        <w:rPr>
          <w:lang w:val="fr-FR"/>
        </w:rPr>
      </w:pPr>
      <w:r>
        <w:rPr>
          <w:lang w:val="fr-FR"/>
        </w:rPr>
        <w:lastRenderedPageBreak/>
        <w:t>La trésorerie potentielle</w:t>
      </w:r>
      <w:bookmarkEnd w:id="11"/>
    </w:p>
    <w:p w:rsidR="00B90B30" w:rsidRDefault="00B90B30" w:rsidP="00B90B30">
      <w:pPr>
        <w:pStyle w:val="Titre2"/>
        <w:rPr>
          <w:lang w:val="fr-FR"/>
        </w:rPr>
      </w:pPr>
      <w:bookmarkStart w:id="12" w:name="_Toc194136972"/>
      <w:r>
        <w:rPr>
          <w:lang w:val="fr-FR"/>
        </w:rPr>
        <w:t>Définition de la trésorerie potentielle</w:t>
      </w:r>
      <w:bookmarkEnd w:id="12"/>
    </w:p>
    <w:p w:rsidR="002047FE" w:rsidRDefault="00195CE3" w:rsidP="00195CE3">
      <w:pPr>
        <w:rPr>
          <w:lang w:val="fr-FR"/>
        </w:rPr>
      </w:pPr>
      <w:r>
        <w:rPr>
          <w:lang w:val="fr-FR"/>
        </w:rPr>
        <w:t xml:space="preserve">Le TSIG permet d’évaluer la profitabilité et la rentabilité de l’entreprise. </w:t>
      </w:r>
      <w:r w:rsidR="002047FE">
        <w:rPr>
          <w:lang w:val="fr-FR"/>
        </w:rPr>
        <w:t xml:space="preserve">Cependant, les bénéfices comptables ne correspondent pas forcément à des excédents de trésorerie : un produit n’est pas toujours lié à un encaissement, et ni les charges à un décaissement. En effet, il existe des produits et des charges non encaissables ou non décaissables. </w:t>
      </w:r>
    </w:p>
    <w:p w:rsidR="00195CE3" w:rsidRDefault="002047FE" w:rsidP="002047FE">
      <w:pPr>
        <w:rPr>
          <w:lang w:val="fr-FR"/>
        </w:rPr>
      </w:pPr>
      <w:r>
        <w:rPr>
          <w:lang w:val="fr-FR"/>
        </w:rPr>
        <w:t xml:space="preserve">Il faut également faire la distinction entre trésorerie potentielle, dans laquelle on ne prend pas en compte les crédits et les dettes, et la trésorerie réelle qui intègre ces données. La trésorerie  potentielle mesure donc la solvabilité de l’entreprise, c'est-à-dire son aptitude à rembourser ses dettes, à investir et à mener une politique de dividendes. Elle correspond à la Capacité d’Auto Financement (C.A.F.).  La trésorerie réelle mesure la liquidité immédiate de l’entreprise. </w:t>
      </w:r>
    </w:p>
    <w:p w:rsidR="002047FE" w:rsidRPr="00195CE3" w:rsidRDefault="00C4742C" w:rsidP="00B90B30">
      <w:pPr>
        <w:jc w:val="center"/>
        <w:rPr>
          <w:lang w:val="fr-FR"/>
        </w:rPr>
      </w:pPr>
      <w:r>
        <w:rPr>
          <w:noProof/>
          <w:lang w:val="fr-FR" w:eastAsia="fr-FR" w:bidi="ar-SA"/>
        </w:rPr>
        <w:pict>
          <v:group id="_x0000_s1030" style="position:absolute;left:0;text-align:left;margin-left:127.9pt;margin-top:124.8pt;width:240pt;height:54.4pt;z-index:251663360" coordorigin="3780,2557" coordsize="4800,1088">
            <v:rect id="_x0000_s1026" style="position:absolute;left:4305;top:2557;width:261;height:28" fillcolor="white [3201]" strokecolor="#b9cdce [1942]" strokeweight="1pt">
              <v:fill color2="#d0dede [1302]" focusposition="1" focussize="" focus="100%" type="gradient"/>
              <v:shadow on="t" type="perspective" color="#405a5b [1606]" opacity=".5" offset="1pt" offset2="-3pt"/>
            </v:rect>
            <v:rect id="_x0000_s1027" style="position:absolute;left:7344;top:2585;width:261;height:28" fillcolor="white [3201]" strokecolor="#b9cdce [1942]" strokeweight="1pt">
              <v:fill color2="#d0dede [1302]" focusposition="1" focussize="" focus="100%" type="gradient"/>
              <v:shadow on="t" type="perspective" color="#405a5b [1606]" opacity=".5" offset="1pt" offset2="-3pt"/>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8" type="#_x0000_t102" style="position:absolute;left:5152;top:1658;width:615;height:3360;rotation:270" adj="16179,19222,11098"/>
            <v:shape id="_x0000_s1029" type="#_x0000_t102" style="position:absolute;left:6592;top:1658;width:615;height:3360;rotation:270" adj="16179,19222,11098"/>
          </v:group>
        </w:pict>
      </w:r>
      <w:r w:rsidR="002047FE">
        <w:rPr>
          <w:noProof/>
          <w:lang w:val="fr-FR" w:eastAsia="fr-FR" w:bidi="ar-SA"/>
        </w:rPr>
        <w:drawing>
          <wp:inline distT="0" distB="0" distL="0" distR="0">
            <wp:extent cx="3695700" cy="1847850"/>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7745D" w:rsidRDefault="0037745D" w:rsidP="0037745D">
      <w:pPr>
        <w:ind w:firstLine="0"/>
        <w:rPr>
          <w:lang w:val="fr-FR"/>
        </w:rPr>
      </w:pPr>
      <w:r>
        <w:rPr>
          <w:lang w:val="fr-FR"/>
        </w:rPr>
        <w:t xml:space="preserve"> </w:t>
      </w:r>
    </w:p>
    <w:p w:rsidR="00652BCA" w:rsidRDefault="00652BCA" w:rsidP="0037745D">
      <w:pPr>
        <w:ind w:firstLine="0"/>
        <w:rPr>
          <w:lang w:val="fr-FR"/>
        </w:rPr>
      </w:pPr>
    </w:p>
    <w:p w:rsidR="00652BCA" w:rsidRDefault="00652BCA" w:rsidP="00652BCA">
      <w:pPr>
        <w:ind w:firstLine="0"/>
        <w:jc w:val="center"/>
        <w:rPr>
          <w:lang w:val="fr-FR"/>
        </w:rPr>
      </w:pPr>
      <w:r w:rsidRPr="00652BCA">
        <w:rPr>
          <w:noProof/>
          <w:lang w:val="fr-FR" w:eastAsia="fr-FR" w:bidi="ar-SA"/>
        </w:rPr>
        <w:drawing>
          <wp:inline distT="0" distB="0" distL="0" distR="0">
            <wp:extent cx="3133725" cy="990600"/>
            <wp:effectExtent l="19050" t="0" r="9525" b="0"/>
            <wp:docPr id="4"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90B30" w:rsidRDefault="00B90B30" w:rsidP="0037745D">
      <w:pPr>
        <w:ind w:firstLine="0"/>
        <w:rPr>
          <w:lang w:val="fr-FR"/>
        </w:rPr>
      </w:pPr>
    </w:p>
    <w:p w:rsidR="009978BA" w:rsidRDefault="009978BA" w:rsidP="00B90B30">
      <w:pPr>
        <w:pStyle w:val="Titre2"/>
        <w:rPr>
          <w:lang w:val="fr-FR"/>
        </w:rPr>
        <w:sectPr w:rsidR="009978BA" w:rsidSect="00BC4F44">
          <w:pgSz w:w="11906" w:h="16838"/>
          <w:pgMar w:top="1417" w:right="1417" w:bottom="1417" w:left="1417" w:header="708" w:footer="708" w:gutter="0"/>
          <w:cols w:space="708"/>
          <w:docGrid w:linePitch="360"/>
        </w:sectPr>
      </w:pPr>
      <w:bookmarkStart w:id="13" w:name="_Toc194136973"/>
    </w:p>
    <w:p w:rsidR="00B90B30" w:rsidRDefault="00B90B30" w:rsidP="00B90B30">
      <w:pPr>
        <w:pStyle w:val="Titre2"/>
        <w:rPr>
          <w:lang w:val="fr-FR"/>
        </w:rPr>
      </w:pPr>
      <w:r>
        <w:rPr>
          <w:lang w:val="fr-FR"/>
        </w:rPr>
        <w:lastRenderedPageBreak/>
        <w:t>Calcul de la CAF</w:t>
      </w:r>
      <w:bookmarkEnd w:id="13"/>
    </w:p>
    <w:p w:rsidR="00B90B30" w:rsidRDefault="00B90B30" w:rsidP="00B90B30">
      <w:pPr>
        <w:pStyle w:val="Titre3"/>
        <w:rPr>
          <w:lang w:val="fr-FR"/>
        </w:rPr>
      </w:pPr>
      <w:bookmarkStart w:id="14" w:name="_Toc194136974"/>
      <w:r>
        <w:rPr>
          <w:lang w:val="fr-FR"/>
        </w:rPr>
        <w:t>Méthode directe</w:t>
      </w:r>
      <w:bookmarkEnd w:id="14"/>
    </w:p>
    <w:p w:rsidR="00B90B30" w:rsidRDefault="00B90B30" w:rsidP="00B90B30">
      <w:pPr>
        <w:rPr>
          <w:lang w:val="fr-FR"/>
        </w:rPr>
      </w:pPr>
      <w:r>
        <w:rPr>
          <w:lang w:val="fr-FR"/>
        </w:rPr>
        <w:t>On construit progressivement la CAF, en ne prenant en compte que les produits encaissabl</w:t>
      </w:r>
      <w:r w:rsidR="00652BCA">
        <w:rPr>
          <w:lang w:val="fr-FR"/>
        </w:rPr>
        <w:t xml:space="preserve">es et les charges décaissables. </w:t>
      </w:r>
    </w:p>
    <w:tbl>
      <w:tblPr>
        <w:tblStyle w:val="Grilledutableau"/>
        <w:tblW w:w="0" w:type="auto"/>
        <w:tblLook w:val="04A0"/>
      </w:tblPr>
      <w:tblGrid>
        <w:gridCol w:w="4219"/>
        <w:gridCol w:w="709"/>
        <w:gridCol w:w="4360"/>
      </w:tblGrid>
      <w:tr w:rsidR="002512E6" w:rsidTr="002512E6">
        <w:tc>
          <w:tcPr>
            <w:tcW w:w="4219" w:type="dxa"/>
            <w:tcBorders>
              <w:top w:val="single" w:sz="12" w:space="0" w:color="646B86" w:themeColor="text2"/>
              <w:left w:val="single" w:sz="12" w:space="0" w:color="646B86" w:themeColor="text2"/>
              <w:bottom w:val="single" w:sz="12" w:space="0" w:color="646B86" w:themeColor="text2"/>
              <w:right w:val="single" w:sz="12" w:space="0" w:color="646B86" w:themeColor="text2"/>
            </w:tcBorders>
            <w:vAlign w:val="center"/>
          </w:tcPr>
          <w:p w:rsidR="002512E6" w:rsidRDefault="002512E6" w:rsidP="00BF75ED">
            <w:pPr>
              <w:ind w:firstLine="0"/>
              <w:jc w:val="center"/>
              <w:rPr>
                <w:lang w:val="fr-FR"/>
              </w:rPr>
            </w:pPr>
            <w:r>
              <w:rPr>
                <w:lang w:val="fr-FR"/>
              </w:rPr>
              <w:t>EBE</w:t>
            </w:r>
          </w:p>
        </w:tc>
        <w:tc>
          <w:tcPr>
            <w:tcW w:w="5069" w:type="dxa"/>
            <w:gridSpan w:val="2"/>
            <w:vMerge w:val="restart"/>
            <w:tcBorders>
              <w:top w:val="nil"/>
              <w:left w:val="single" w:sz="12" w:space="0" w:color="646B86" w:themeColor="text2"/>
              <w:right w:val="nil"/>
            </w:tcBorders>
          </w:tcPr>
          <w:p w:rsidR="002512E6" w:rsidRDefault="002512E6" w:rsidP="00BF75ED">
            <w:pPr>
              <w:ind w:firstLine="0"/>
              <w:jc w:val="center"/>
              <w:rPr>
                <w:lang w:val="fr-FR"/>
              </w:rPr>
            </w:pPr>
          </w:p>
        </w:tc>
      </w:tr>
      <w:tr w:rsidR="002512E6" w:rsidTr="002512E6">
        <w:tc>
          <w:tcPr>
            <w:tcW w:w="4219" w:type="dxa"/>
            <w:tcBorders>
              <w:top w:val="single" w:sz="12" w:space="0" w:color="646B86" w:themeColor="text2"/>
              <w:left w:val="nil"/>
              <w:bottom w:val="single" w:sz="12" w:space="0" w:color="D16349" w:themeColor="accent1"/>
              <w:right w:val="nil"/>
            </w:tcBorders>
            <w:vAlign w:val="center"/>
          </w:tcPr>
          <w:p w:rsidR="002512E6" w:rsidRPr="002512E6" w:rsidRDefault="002512E6" w:rsidP="00BF75ED">
            <w:pPr>
              <w:ind w:firstLine="0"/>
              <w:jc w:val="center"/>
              <w:rPr>
                <w:b/>
                <w:lang w:val="fr-FR"/>
              </w:rPr>
            </w:pPr>
            <w:r w:rsidRPr="002512E6">
              <w:rPr>
                <w:b/>
                <w:lang w:val="fr-FR"/>
              </w:rPr>
              <w:t>+</w:t>
            </w:r>
          </w:p>
        </w:tc>
        <w:tc>
          <w:tcPr>
            <w:tcW w:w="5069" w:type="dxa"/>
            <w:gridSpan w:val="2"/>
            <w:vMerge/>
            <w:tcBorders>
              <w:left w:val="nil"/>
              <w:bottom w:val="single" w:sz="12" w:space="0" w:color="D16349" w:themeColor="accent1"/>
              <w:right w:val="nil"/>
            </w:tcBorders>
          </w:tcPr>
          <w:p w:rsidR="002512E6" w:rsidRDefault="002512E6" w:rsidP="00BF75ED">
            <w:pPr>
              <w:ind w:firstLine="0"/>
              <w:jc w:val="center"/>
              <w:rPr>
                <w:lang w:val="fr-FR"/>
              </w:rPr>
            </w:pPr>
          </w:p>
        </w:tc>
      </w:tr>
      <w:tr w:rsidR="002512E6" w:rsidTr="002512E6">
        <w:tc>
          <w:tcPr>
            <w:tcW w:w="4219" w:type="dxa"/>
            <w:tcBorders>
              <w:top w:val="single" w:sz="12" w:space="0" w:color="D16349" w:themeColor="accent1"/>
              <w:left w:val="single" w:sz="12" w:space="0" w:color="D16349" w:themeColor="accent1"/>
              <w:bottom w:val="single" w:sz="4" w:space="0" w:color="D16349" w:themeColor="accent1"/>
              <w:right w:val="nil"/>
            </w:tcBorders>
            <w:vAlign w:val="center"/>
          </w:tcPr>
          <w:p w:rsidR="002512E6" w:rsidRDefault="002512E6" w:rsidP="00BF75ED">
            <w:pPr>
              <w:ind w:firstLine="0"/>
              <w:jc w:val="center"/>
              <w:rPr>
                <w:lang w:val="fr-FR"/>
              </w:rPr>
            </w:pPr>
            <w:r>
              <w:rPr>
                <w:lang w:val="fr-FR"/>
              </w:rPr>
              <w:t>Produits encaissables</w:t>
            </w:r>
          </w:p>
        </w:tc>
        <w:tc>
          <w:tcPr>
            <w:tcW w:w="709" w:type="dxa"/>
            <w:tcBorders>
              <w:top w:val="single" w:sz="12" w:space="0" w:color="D16349" w:themeColor="accent1"/>
              <w:left w:val="nil"/>
              <w:bottom w:val="single" w:sz="4" w:space="0" w:color="D16349" w:themeColor="accent1"/>
              <w:right w:val="nil"/>
            </w:tcBorders>
          </w:tcPr>
          <w:p w:rsidR="002512E6" w:rsidRDefault="002512E6" w:rsidP="00BF75ED">
            <w:pPr>
              <w:ind w:firstLine="0"/>
              <w:jc w:val="center"/>
              <w:rPr>
                <w:lang w:val="fr-FR"/>
              </w:rPr>
            </w:pPr>
          </w:p>
        </w:tc>
        <w:tc>
          <w:tcPr>
            <w:tcW w:w="4360" w:type="dxa"/>
            <w:tcBorders>
              <w:top w:val="single" w:sz="12" w:space="0" w:color="D16349" w:themeColor="accent1"/>
              <w:left w:val="nil"/>
              <w:bottom w:val="single" w:sz="4" w:space="0" w:color="D16349" w:themeColor="accent1"/>
              <w:right w:val="single" w:sz="12" w:space="0" w:color="D16349" w:themeColor="accent1"/>
            </w:tcBorders>
            <w:vAlign w:val="center"/>
          </w:tcPr>
          <w:p w:rsidR="002512E6" w:rsidRDefault="002512E6" w:rsidP="00BF75ED">
            <w:pPr>
              <w:ind w:firstLine="0"/>
              <w:jc w:val="center"/>
              <w:rPr>
                <w:lang w:val="fr-FR"/>
              </w:rPr>
            </w:pPr>
            <w:r>
              <w:rPr>
                <w:lang w:val="fr-FR"/>
              </w:rPr>
              <w:t>Produits non décaissables</w:t>
            </w:r>
          </w:p>
        </w:tc>
      </w:tr>
      <w:tr w:rsidR="002512E6" w:rsidTr="002512E6">
        <w:tc>
          <w:tcPr>
            <w:tcW w:w="4219" w:type="dxa"/>
            <w:tcBorders>
              <w:top w:val="single" w:sz="4" w:space="0" w:color="D16349" w:themeColor="accent1"/>
              <w:left w:val="single" w:sz="12" w:space="0" w:color="D16349" w:themeColor="accent1"/>
              <w:bottom w:val="single" w:sz="12" w:space="0" w:color="D16349" w:themeColor="accent1"/>
              <w:right w:val="nil"/>
            </w:tcBorders>
            <w:vAlign w:val="center"/>
          </w:tcPr>
          <w:p w:rsidR="002512E6" w:rsidRDefault="002512E6" w:rsidP="00BF75ED">
            <w:pPr>
              <w:ind w:firstLine="0"/>
              <w:rPr>
                <w:lang w:val="fr-FR"/>
              </w:rPr>
            </w:pPr>
            <w:r>
              <w:rPr>
                <w:lang w:val="fr-FR"/>
              </w:rPr>
              <w:t>Transfert de charges</w:t>
            </w:r>
          </w:p>
          <w:p w:rsidR="002512E6" w:rsidRDefault="002512E6" w:rsidP="00BF75ED">
            <w:pPr>
              <w:ind w:firstLine="0"/>
              <w:rPr>
                <w:lang w:val="fr-FR"/>
              </w:rPr>
            </w:pPr>
            <w:r>
              <w:rPr>
                <w:lang w:val="fr-FR"/>
              </w:rPr>
              <w:t>Autres produits d’exploitation (sauf RAP)</w:t>
            </w:r>
          </w:p>
          <w:p w:rsidR="002512E6" w:rsidRDefault="002512E6" w:rsidP="00BF75ED">
            <w:pPr>
              <w:ind w:firstLine="0"/>
              <w:rPr>
                <w:lang w:val="fr-FR"/>
              </w:rPr>
            </w:pPr>
            <w:r>
              <w:rPr>
                <w:lang w:val="fr-FR"/>
              </w:rPr>
              <w:t>Produits financiers (sauf RAP)</w:t>
            </w:r>
          </w:p>
          <w:p w:rsidR="002512E6" w:rsidRDefault="002512E6" w:rsidP="00BF75ED">
            <w:pPr>
              <w:ind w:firstLine="0"/>
              <w:rPr>
                <w:lang w:val="fr-FR"/>
              </w:rPr>
            </w:pPr>
            <w:r>
              <w:rPr>
                <w:lang w:val="fr-FR"/>
              </w:rPr>
              <w:t>Produits exceptionnels (sauf RAP et produit de cession d’élément d’actif)</w:t>
            </w:r>
          </w:p>
        </w:tc>
        <w:tc>
          <w:tcPr>
            <w:tcW w:w="709" w:type="dxa"/>
            <w:tcBorders>
              <w:top w:val="single" w:sz="4" w:space="0" w:color="D16349" w:themeColor="accent1"/>
              <w:left w:val="nil"/>
              <w:bottom w:val="single" w:sz="12" w:space="0" w:color="D16349" w:themeColor="accent1"/>
              <w:right w:val="nil"/>
            </w:tcBorders>
            <w:vAlign w:val="center"/>
          </w:tcPr>
          <w:p w:rsidR="002512E6" w:rsidRPr="002512E6" w:rsidRDefault="002512E6" w:rsidP="002512E6">
            <w:pPr>
              <w:ind w:firstLine="0"/>
              <w:jc w:val="center"/>
              <w:rPr>
                <w:b/>
                <w:lang w:val="fr-FR"/>
              </w:rPr>
            </w:pPr>
            <w:r w:rsidRPr="002512E6">
              <w:rPr>
                <w:b/>
                <w:lang w:val="fr-FR"/>
              </w:rPr>
              <w:t>-</w:t>
            </w:r>
          </w:p>
        </w:tc>
        <w:tc>
          <w:tcPr>
            <w:tcW w:w="4360" w:type="dxa"/>
            <w:tcBorders>
              <w:top w:val="single" w:sz="4" w:space="0" w:color="D16349" w:themeColor="accent1"/>
              <w:left w:val="nil"/>
              <w:bottom w:val="single" w:sz="12" w:space="0" w:color="D16349" w:themeColor="accent1"/>
              <w:right w:val="single" w:sz="12" w:space="0" w:color="D16349" w:themeColor="accent1"/>
            </w:tcBorders>
            <w:vAlign w:val="center"/>
          </w:tcPr>
          <w:p w:rsidR="002512E6" w:rsidRDefault="002512E6" w:rsidP="00BF75ED">
            <w:pPr>
              <w:ind w:firstLine="0"/>
              <w:rPr>
                <w:lang w:val="fr-FR"/>
              </w:rPr>
            </w:pPr>
            <w:r>
              <w:rPr>
                <w:lang w:val="fr-FR"/>
              </w:rPr>
              <w:t>RAP (exploitation, financiers, exceptionnels)</w:t>
            </w:r>
          </w:p>
          <w:p w:rsidR="002512E6" w:rsidRDefault="002512E6" w:rsidP="00BF75ED">
            <w:pPr>
              <w:ind w:firstLine="0"/>
              <w:rPr>
                <w:lang w:val="fr-FR"/>
              </w:rPr>
            </w:pPr>
            <w:r>
              <w:rPr>
                <w:lang w:val="fr-FR"/>
              </w:rPr>
              <w:t>Produits de cession d’éléments d’actif</w:t>
            </w:r>
          </w:p>
          <w:p w:rsidR="002512E6" w:rsidRDefault="002512E6" w:rsidP="00BF75ED">
            <w:pPr>
              <w:ind w:firstLine="0"/>
              <w:rPr>
                <w:lang w:val="fr-FR"/>
              </w:rPr>
            </w:pPr>
            <w:r>
              <w:rPr>
                <w:lang w:val="fr-FR"/>
              </w:rPr>
              <w:t>Quotepart de subvention d’investissement</w:t>
            </w:r>
          </w:p>
        </w:tc>
      </w:tr>
      <w:tr w:rsidR="002512E6" w:rsidTr="002512E6">
        <w:tc>
          <w:tcPr>
            <w:tcW w:w="4219" w:type="dxa"/>
            <w:tcBorders>
              <w:top w:val="single" w:sz="12" w:space="0" w:color="D16349" w:themeColor="accent1"/>
              <w:left w:val="nil"/>
              <w:bottom w:val="single" w:sz="12" w:space="0" w:color="8CADAE" w:themeColor="accent3"/>
              <w:right w:val="nil"/>
            </w:tcBorders>
            <w:vAlign w:val="center"/>
          </w:tcPr>
          <w:p w:rsidR="002512E6" w:rsidRPr="002512E6" w:rsidRDefault="002512E6" w:rsidP="00BF75ED">
            <w:pPr>
              <w:ind w:firstLine="0"/>
              <w:jc w:val="center"/>
              <w:rPr>
                <w:b/>
                <w:lang w:val="fr-FR"/>
              </w:rPr>
            </w:pPr>
            <w:r w:rsidRPr="002512E6">
              <w:rPr>
                <w:b/>
                <w:lang w:val="fr-FR"/>
              </w:rPr>
              <w:t>-</w:t>
            </w:r>
          </w:p>
        </w:tc>
        <w:tc>
          <w:tcPr>
            <w:tcW w:w="709" w:type="dxa"/>
            <w:tcBorders>
              <w:top w:val="single" w:sz="12" w:space="0" w:color="D16349" w:themeColor="accent1"/>
              <w:left w:val="nil"/>
              <w:bottom w:val="single" w:sz="12" w:space="0" w:color="8CADAE" w:themeColor="accent3"/>
              <w:right w:val="nil"/>
            </w:tcBorders>
          </w:tcPr>
          <w:p w:rsidR="002512E6" w:rsidRDefault="002512E6" w:rsidP="00BF75ED">
            <w:pPr>
              <w:ind w:firstLine="0"/>
              <w:jc w:val="center"/>
              <w:rPr>
                <w:lang w:val="fr-FR"/>
              </w:rPr>
            </w:pPr>
          </w:p>
        </w:tc>
        <w:tc>
          <w:tcPr>
            <w:tcW w:w="4360" w:type="dxa"/>
            <w:tcBorders>
              <w:top w:val="single" w:sz="12" w:space="0" w:color="D16349" w:themeColor="accent1"/>
              <w:left w:val="nil"/>
              <w:bottom w:val="single" w:sz="12" w:space="0" w:color="8CADAE" w:themeColor="accent3"/>
              <w:right w:val="nil"/>
            </w:tcBorders>
            <w:vAlign w:val="center"/>
          </w:tcPr>
          <w:p w:rsidR="002512E6" w:rsidRDefault="002512E6" w:rsidP="00BF75ED">
            <w:pPr>
              <w:ind w:firstLine="0"/>
              <w:jc w:val="center"/>
              <w:rPr>
                <w:lang w:val="fr-FR"/>
              </w:rPr>
            </w:pPr>
          </w:p>
        </w:tc>
      </w:tr>
      <w:tr w:rsidR="002512E6" w:rsidTr="002512E6">
        <w:tc>
          <w:tcPr>
            <w:tcW w:w="4219" w:type="dxa"/>
            <w:tcBorders>
              <w:top w:val="single" w:sz="12" w:space="0" w:color="8CADAE" w:themeColor="accent3"/>
              <w:left w:val="single" w:sz="12" w:space="0" w:color="8CADAE" w:themeColor="accent3"/>
              <w:bottom w:val="single" w:sz="4" w:space="0" w:color="8FB08C" w:themeColor="accent5"/>
              <w:right w:val="nil"/>
            </w:tcBorders>
            <w:vAlign w:val="center"/>
          </w:tcPr>
          <w:p w:rsidR="002512E6" w:rsidRDefault="002512E6" w:rsidP="00BF75ED">
            <w:pPr>
              <w:ind w:firstLine="0"/>
              <w:jc w:val="center"/>
              <w:rPr>
                <w:lang w:val="fr-FR"/>
              </w:rPr>
            </w:pPr>
            <w:r>
              <w:rPr>
                <w:lang w:val="fr-FR"/>
              </w:rPr>
              <w:t>Charges décaissables</w:t>
            </w:r>
          </w:p>
        </w:tc>
        <w:tc>
          <w:tcPr>
            <w:tcW w:w="709" w:type="dxa"/>
            <w:tcBorders>
              <w:top w:val="single" w:sz="12" w:space="0" w:color="8CADAE" w:themeColor="accent3"/>
              <w:left w:val="nil"/>
              <w:bottom w:val="single" w:sz="4" w:space="0" w:color="8FB08C" w:themeColor="accent5"/>
              <w:right w:val="nil"/>
            </w:tcBorders>
          </w:tcPr>
          <w:p w:rsidR="002512E6" w:rsidRDefault="002512E6" w:rsidP="00BF75ED">
            <w:pPr>
              <w:ind w:firstLine="0"/>
              <w:jc w:val="center"/>
              <w:rPr>
                <w:lang w:val="fr-FR"/>
              </w:rPr>
            </w:pPr>
          </w:p>
        </w:tc>
        <w:tc>
          <w:tcPr>
            <w:tcW w:w="4360" w:type="dxa"/>
            <w:tcBorders>
              <w:top w:val="single" w:sz="12" w:space="0" w:color="8CADAE" w:themeColor="accent3"/>
              <w:left w:val="nil"/>
              <w:bottom w:val="single" w:sz="4" w:space="0" w:color="8FB08C" w:themeColor="accent5"/>
              <w:right w:val="single" w:sz="12" w:space="0" w:color="8CADAE" w:themeColor="accent3"/>
            </w:tcBorders>
            <w:vAlign w:val="center"/>
          </w:tcPr>
          <w:p w:rsidR="002512E6" w:rsidRDefault="002512E6" w:rsidP="00BF75ED">
            <w:pPr>
              <w:ind w:firstLine="0"/>
              <w:jc w:val="center"/>
              <w:rPr>
                <w:lang w:val="fr-FR"/>
              </w:rPr>
            </w:pPr>
            <w:r>
              <w:rPr>
                <w:lang w:val="fr-FR"/>
              </w:rPr>
              <w:t>Charges non décaissables</w:t>
            </w:r>
          </w:p>
        </w:tc>
      </w:tr>
      <w:tr w:rsidR="002512E6" w:rsidTr="002512E6">
        <w:tc>
          <w:tcPr>
            <w:tcW w:w="4219" w:type="dxa"/>
            <w:tcBorders>
              <w:top w:val="single" w:sz="4" w:space="0" w:color="8FB08C" w:themeColor="accent5"/>
              <w:left w:val="single" w:sz="12" w:space="0" w:color="8CADAE" w:themeColor="accent3"/>
              <w:bottom w:val="single" w:sz="12" w:space="0" w:color="8CADAE" w:themeColor="accent3"/>
              <w:right w:val="nil"/>
            </w:tcBorders>
            <w:vAlign w:val="center"/>
          </w:tcPr>
          <w:p w:rsidR="002512E6" w:rsidRDefault="002512E6" w:rsidP="00BF75ED">
            <w:pPr>
              <w:ind w:firstLine="0"/>
              <w:rPr>
                <w:lang w:val="fr-FR"/>
              </w:rPr>
            </w:pPr>
            <w:r>
              <w:rPr>
                <w:lang w:val="fr-FR"/>
              </w:rPr>
              <w:t xml:space="preserve">Autres charges d’exploitation </w:t>
            </w:r>
          </w:p>
          <w:p w:rsidR="002512E6" w:rsidRDefault="002512E6" w:rsidP="00BF75ED">
            <w:pPr>
              <w:ind w:firstLine="0"/>
              <w:rPr>
                <w:lang w:val="fr-FR"/>
              </w:rPr>
            </w:pPr>
            <w:r>
              <w:rPr>
                <w:lang w:val="fr-FR"/>
              </w:rPr>
              <w:t>Charges financières</w:t>
            </w:r>
          </w:p>
        </w:tc>
        <w:tc>
          <w:tcPr>
            <w:tcW w:w="709" w:type="dxa"/>
            <w:tcBorders>
              <w:top w:val="single" w:sz="4" w:space="0" w:color="8FB08C" w:themeColor="accent5"/>
              <w:left w:val="nil"/>
              <w:bottom w:val="single" w:sz="12" w:space="0" w:color="8CADAE" w:themeColor="accent3"/>
              <w:right w:val="nil"/>
            </w:tcBorders>
            <w:vAlign w:val="center"/>
          </w:tcPr>
          <w:p w:rsidR="002512E6" w:rsidRPr="002512E6" w:rsidRDefault="002512E6" w:rsidP="002512E6">
            <w:pPr>
              <w:ind w:firstLine="0"/>
              <w:jc w:val="center"/>
              <w:rPr>
                <w:b/>
                <w:lang w:val="fr-FR"/>
              </w:rPr>
            </w:pPr>
            <w:r w:rsidRPr="002512E6">
              <w:rPr>
                <w:b/>
                <w:lang w:val="fr-FR"/>
              </w:rPr>
              <w:t>-</w:t>
            </w:r>
          </w:p>
        </w:tc>
        <w:tc>
          <w:tcPr>
            <w:tcW w:w="4360" w:type="dxa"/>
            <w:tcBorders>
              <w:top w:val="single" w:sz="4" w:space="0" w:color="8FB08C" w:themeColor="accent5"/>
              <w:left w:val="nil"/>
              <w:bottom w:val="single" w:sz="12" w:space="0" w:color="8CADAE" w:themeColor="accent3"/>
              <w:right w:val="single" w:sz="12" w:space="0" w:color="8CADAE" w:themeColor="accent3"/>
            </w:tcBorders>
            <w:vAlign w:val="center"/>
          </w:tcPr>
          <w:p w:rsidR="002512E6" w:rsidRDefault="002512E6" w:rsidP="00BF75ED">
            <w:pPr>
              <w:ind w:firstLine="0"/>
              <w:rPr>
                <w:lang w:val="fr-FR"/>
              </w:rPr>
            </w:pPr>
            <w:r>
              <w:rPr>
                <w:lang w:val="fr-FR"/>
              </w:rPr>
              <w:t>DAP (exploitation, provision, dépréciation)</w:t>
            </w:r>
          </w:p>
          <w:p w:rsidR="002512E6" w:rsidRDefault="002512E6" w:rsidP="00BF75ED">
            <w:pPr>
              <w:ind w:firstLine="0"/>
              <w:rPr>
                <w:lang w:val="fr-FR"/>
              </w:rPr>
            </w:pPr>
            <w:r>
              <w:rPr>
                <w:lang w:val="fr-FR"/>
              </w:rPr>
              <w:t>Valeur comptable d’éléments d’actif cédés (VCEAC)</w:t>
            </w:r>
          </w:p>
        </w:tc>
      </w:tr>
    </w:tbl>
    <w:p w:rsidR="00652BCA" w:rsidRDefault="00654713" w:rsidP="00654713">
      <w:pPr>
        <w:pStyle w:val="Titre3"/>
        <w:rPr>
          <w:lang w:val="fr-FR"/>
        </w:rPr>
      </w:pPr>
      <w:bookmarkStart w:id="15" w:name="_Toc194136975"/>
      <w:r>
        <w:rPr>
          <w:lang w:val="fr-FR"/>
        </w:rPr>
        <w:t>Méthode indirecte</w:t>
      </w:r>
      <w:bookmarkEnd w:id="15"/>
    </w:p>
    <w:p w:rsidR="00654713" w:rsidRDefault="00654713" w:rsidP="00654713">
      <w:pPr>
        <w:rPr>
          <w:lang w:val="fr-FR"/>
        </w:rPr>
      </w:pPr>
      <w:r>
        <w:rPr>
          <w:lang w:val="fr-FR"/>
        </w:rPr>
        <w:t xml:space="preserve">On commence par isoler les trois produits non encaissables (RAP, produit de cession d’actif, quotepart de subvention d’investissement), et les deux charges non encaissables (DAP, valeur comptable d’éléments d’actif cédés). </w:t>
      </w:r>
    </w:p>
    <w:p w:rsidR="00654713" w:rsidRDefault="00654713" w:rsidP="00654713">
      <w:pPr>
        <w:rPr>
          <w:lang w:val="fr-FR"/>
        </w:rPr>
      </w:pPr>
      <w:r>
        <w:rPr>
          <w:lang w:val="fr-FR"/>
        </w:rPr>
        <w:t>On soustrait ces deux éléments au montant du résultat de l’exercice.</w:t>
      </w:r>
    </w:p>
    <w:p w:rsidR="00654713" w:rsidRPr="00654713" w:rsidRDefault="00654713" w:rsidP="00654713">
      <w:pPr>
        <w:pStyle w:val="Titre1"/>
        <w:rPr>
          <w:lang w:val="fr-FR"/>
        </w:rPr>
      </w:pPr>
      <w:bookmarkStart w:id="16" w:name="_Toc194136976"/>
      <w:r>
        <w:rPr>
          <w:lang w:val="fr-FR"/>
        </w:rPr>
        <w:t>Analyse des performances</w:t>
      </w:r>
      <w:bookmarkEnd w:id="16"/>
    </w:p>
    <w:p w:rsidR="00652BCA" w:rsidRDefault="00654713" w:rsidP="00654713">
      <w:pPr>
        <w:pStyle w:val="Titre2"/>
        <w:rPr>
          <w:lang w:val="fr-FR"/>
        </w:rPr>
      </w:pPr>
      <w:bookmarkStart w:id="17" w:name="_Toc194136977"/>
      <w:r>
        <w:rPr>
          <w:lang w:val="fr-FR"/>
        </w:rPr>
        <w:t>Notion de performance</w:t>
      </w:r>
      <w:bookmarkEnd w:id="17"/>
    </w:p>
    <w:p w:rsidR="00654713" w:rsidRDefault="00654713" w:rsidP="00654713">
      <w:pPr>
        <w:rPr>
          <w:lang w:val="fr-FR"/>
        </w:rPr>
      </w:pPr>
      <w:r>
        <w:rPr>
          <w:lang w:val="fr-FR"/>
        </w:rPr>
        <w:t>Analyser la performance revient à étudier quatre paramètres :</w:t>
      </w:r>
    </w:p>
    <w:p w:rsidR="00654713" w:rsidRDefault="00654713" w:rsidP="00654713">
      <w:pPr>
        <w:pStyle w:val="Paragraphedeliste"/>
        <w:numPr>
          <w:ilvl w:val="0"/>
          <w:numId w:val="31"/>
        </w:numPr>
        <w:rPr>
          <w:lang w:val="fr-FR"/>
        </w:rPr>
      </w:pPr>
      <w:r>
        <w:rPr>
          <w:lang w:val="fr-FR"/>
        </w:rPr>
        <w:t>La comparaison avec un étalon de mesure (Benchmarking). La norme est établie par secteur, ou par rapport à l’entreprise  la plus spécialisée dans le domaine.</w:t>
      </w:r>
    </w:p>
    <w:p w:rsidR="00654713" w:rsidRDefault="00654713" w:rsidP="00654713">
      <w:pPr>
        <w:pStyle w:val="Paragraphedeliste"/>
        <w:numPr>
          <w:ilvl w:val="0"/>
          <w:numId w:val="31"/>
        </w:numPr>
        <w:rPr>
          <w:lang w:val="fr-FR"/>
        </w:rPr>
      </w:pPr>
      <w:r>
        <w:rPr>
          <w:lang w:val="fr-FR"/>
        </w:rPr>
        <w:t>L’analyse de la profitabilité, qui revient à analyser l’évolution de la marge et les causes de cette évolution.</w:t>
      </w:r>
    </w:p>
    <w:p w:rsidR="00654713" w:rsidRDefault="00654713" w:rsidP="00654713">
      <w:pPr>
        <w:pStyle w:val="Paragraphedeliste"/>
        <w:numPr>
          <w:ilvl w:val="0"/>
          <w:numId w:val="31"/>
        </w:numPr>
        <w:rPr>
          <w:lang w:val="fr-FR"/>
        </w:rPr>
      </w:pPr>
      <w:r>
        <w:rPr>
          <w:lang w:val="fr-FR"/>
        </w:rPr>
        <w:t>L’analyse du poids de l’endettement, égal au rapport du niveau des intérêts sur le montant des emprunts.</w:t>
      </w:r>
    </w:p>
    <w:p w:rsidR="00654713" w:rsidRDefault="00654713" w:rsidP="00654713">
      <w:pPr>
        <w:pStyle w:val="Paragraphedeliste"/>
        <w:numPr>
          <w:ilvl w:val="0"/>
          <w:numId w:val="31"/>
        </w:numPr>
        <w:rPr>
          <w:lang w:val="fr-FR"/>
        </w:rPr>
      </w:pPr>
      <w:r>
        <w:rPr>
          <w:lang w:val="fr-FR"/>
        </w:rPr>
        <w:t>La capacité de remboursement des dettes, qui permet d’estimer la marge de manœuvre de l’entreprise.</w:t>
      </w:r>
    </w:p>
    <w:p w:rsidR="009978BA" w:rsidRDefault="009978BA" w:rsidP="00654713">
      <w:pPr>
        <w:pStyle w:val="Titre2"/>
        <w:rPr>
          <w:lang w:val="fr-FR"/>
        </w:rPr>
        <w:sectPr w:rsidR="009978BA" w:rsidSect="00BC4F44">
          <w:pgSz w:w="11906" w:h="16838"/>
          <w:pgMar w:top="1417" w:right="1417" w:bottom="1417" w:left="1417" w:header="708" w:footer="708" w:gutter="0"/>
          <w:cols w:space="708"/>
          <w:docGrid w:linePitch="360"/>
        </w:sectPr>
      </w:pPr>
      <w:bookmarkStart w:id="18" w:name="_Toc194136978"/>
    </w:p>
    <w:p w:rsidR="00654713" w:rsidRDefault="00654713" w:rsidP="00654713">
      <w:pPr>
        <w:pStyle w:val="Titre2"/>
        <w:rPr>
          <w:lang w:val="fr-FR"/>
        </w:rPr>
      </w:pPr>
      <w:r>
        <w:rPr>
          <w:lang w:val="fr-FR"/>
        </w:rPr>
        <w:lastRenderedPageBreak/>
        <w:t>La méthode des ratios</w:t>
      </w:r>
      <w:bookmarkEnd w:id="18"/>
    </w:p>
    <w:p w:rsidR="00654713" w:rsidRDefault="00654713" w:rsidP="00654713">
      <w:pPr>
        <w:rPr>
          <w:lang w:val="fr-FR"/>
        </w:rPr>
      </w:pPr>
      <w:r>
        <w:rPr>
          <w:lang w:val="fr-FR"/>
        </w:rPr>
        <w:t>Un ratio permet de comparer deux valeurs utiles pour l’analyse. C’est une mesure relative de la performance, mais il impose une homogénéité des indicateurs comparés.</w:t>
      </w:r>
    </w:p>
    <w:p w:rsidR="00654713" w:rsidRDefault="00654713" w:rsidP="00654713">
      <w:pPr>
        <w:pStyle w:val="Titre2"/>
        <w:rPr>
          <w:lang w:val="fr-FR"/>
        </w:rPr>
      </w:pPr>
      <w:bookmarkStart w:id="19" w:name="_Toc194136979"/>
      <w:r>
        <w:rPr>
          <w:lang w:val="fr-FR"/>
        </w:rPr>
        <w:t>Les indicateurs de la performance</w:t>
      </w:r>
      <w:bookmarkEnd w:id="19"/>
    </w:p>
    <w:p w:rsidR="00654713" w:rsidRDefault="00002E43" w:rsidP="00654713">
      <w:pPr>
        <w:pStyle w:val="Titre3"/>
        <w:rPr>
          <w:lang w:val="fr-FR"/>
        </w:rPr>
      </w:pPr>
      <w:bookmarkStart w:id="20" w:name="_Toc194136980"/>
      <w:r>
        <w:rPr>
          <w:lang w:val="fr-FR"/>
        </w:rPr>
        <w:t>Evolution de l’activité</w:t>
      </w:r>
      <w:bookmarkEnd w:id="20"/>
    </w:p>
    <w:p w:rsidR="0037745D" w:rsidRDefault="0037745D" w:rsidP="0037745D">
      <w:pPr>
        <w:rPr>
          <w:lang w:val="fr-FR"/>
        </w:rPr>
      </w:pPr>
    </w:p>
    <w:p w:rsidR="00B90B30" w:rsidRDefault="00B90B30" w:rsidP="0037745D">
      <w:pPr>
        <w:rPr>
          <w:lang w:val="fr-FR"/>
        </w:rPr>
      </w:pPr>
    </w:p>
    <w:p w:rsidR="00B90B30" w:rsidRDefault="00B90B30" w:rsidP="0037745D">
      <w:pPr>
        <w:rPr>
          <w:lang w:val="fr-FR"/>
        </w:rPr>
      </w:pPr>
    </w:p>
    <w:p w:rsidR="00B90B30" w:rsidRDefault="00B90B30" w:rsidP="0037745D">
      <w:pPr>
        <w:rPr>
          <w:lang w:val="fr-FR"/>
        </w:rPr>
      </w:pPr>
    </w:p>
    <w:p w:rsidR="00B90B30" w:rsidRDefault="00B90B30" w:rsidP="0037745D">
      <w:pPr>
        <w:rPr>
          <w:lang w:val="fr-FR"/>
        </w:rPr>
      </w:pPr>
    </w:p>
    <w:p w:rsidR="00B90B30" w:rsidRDefault="00B90B30" w:rsidP="0037745D">
      <w:pPr>
        <w:rPr>
          <w:lang w:val="fr-FR"/>
        </w:rPr>
      </w:pPr>
    </w:p>
    <w:p w:rsidR="00B90B30" w:rsidRDefault="00B90B30" w:rsidP="0037745D">
      <w:pPr>
        <w:rPr>
          <w:lang w:val="fr-FR"/>
        </w:rPr>
      </w:pPr>
    </w:p>
    <w:p w:rsidR="00B90B30" w:rsidRDefault="00B90B30" w:rsidP="0037745D">
      <w:pPr>
        <w:rPr>
          <w:lang w:val="fr-FR"/>
        </w:rPr>
      </w:pPr>
    </w:p>
    <w:p w:rsidR="00B90B30" w:rsidRDefault="00B90B30" w:rsidP="0037745D">
      <w:pPr>
        <w:rPr>
          <w:lang w:val="fr-FR"/>
        </w:rPr>
      </w:pPr>
    </w:p>
    <w:p w:rsidR="00B90B30" w:rsidRDefault="00B90B30" w:rsidP="0037745D">
      <w:pPr>
        <w:rPr>
          <w:lang w:val="fr-FR"/>
        </w:rPr>
      </w:pPr>
    </w:p>
    <w:p w:rsidR="00B90B30" w:rsidRPr="0037745D" w:rsidRDefault="00B90B30" w:rsidP="0037745D">
      <w:pPr>
        <w:rPr>
          <w:lang w:val="fr-FR"/>
        </w:rPr>
      </w:pPr>
    </w:p>
    <w:sectPr w:rsidR="00B90B30" w:rsidRPr="0037745D" w:rsidSect="00BC4F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5CC" w:rsidRDefault="00A015CC" w:rsidP="009978BA">
      <w:pPr>
        <w:spacing w:before="0" w:after="0"/>
      </w:pPr>
      <w:r>
        <w:separator/>
      </w:r>
    </w:p>
  </w:endnote>
  <w:endnote w:type="continuationSeparator" w:id="1">
    <w:p w:rsidR="00A015CC" w:rsidRDefault="00A015CC" w:rsidP="009978B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68617"/>
      <w:docPartObj>
        <w:docPartGallery w:val="Page Numbers (Bottom of Page)"/>
        <w:docPartUnique/>
      </w:docPartObj>
    </w:sdtPr>
    <w:sdtContent>
      <w:p w:rsidR="0054010B" w:rsidRDefault="0054010B">
        <w:pPr>
          <w:pStyle w:val="Pieddepage"/>
          <w:jc w:val="center"/>
        </w:pPr>
        <w:fldSimple w:instr=" PAGE   \* MERGEFORMAT ">
          <w:r w:rsidR="001A702B">
            <w:rPr>
              <w:noProof/>
            </w:rPr>
            <w:t>6</w:t>
          </w:r>
        </w:fldSimple>
      </w:p>
    </w:sdtContent>
  </w:sdt>
  <w:p w:rsidR="0054010B" w:rsidRDefault="0054010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5CC" w:rsidRDefault="00A015CC" w:rsidP="009978BA">
      <w:pPr>
        <w:spacing w:before="0" w:after="0"/>
      </w:pPr>
      <w:r>
        <w:separator/>
      </w:r>
    </w:p>
  </w:footnote>
  <w:footnote w:type="continuationSeparator" w:id="1">
    <w:p w:rsidR="00A015CC" w:rsidRDefault="00A015CC" w:rsidP="009978BA">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34C6"/>
    <w:multiLevelType w:val="multilevel"/>
    <w:tmpl w:val="EE70CB5C"/>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color w:val="D16349" w:themeColor="accent1"/>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
    <w:nsid w:val="1DDC29B6"/>
    <w:multiLevelType w:val="hybridMultilevel"/>
    <w:tmpl w:val="ABD6DFF2"/>
    <w:lvl w:ilvl="0" w:tplc="32CC3FB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4A67A58"/>
    <w:multiLevelType w:val="hybridMultilevel"/>
    <w:tmpl w:val="CE4A6BD0"/>
    <w:lvl w:ilvl="0" w:tplc="320EBA5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21140C7"/>
    <w:multiLevelType w:val="multilevel"/>
    <w:tmpl w:val="479A5F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21381"/>
    <w:rsid w:val="00002E43"/>
    <w:rsid w:val="0003505F"/>
    <w:rsid w:val="0004001D"/>
    <w:rsid w:val="00077972"/>
    <w:rsid w:val="00116045"/>
    <w:rsid w:val="00187756"/>
    <w:rsid w:val="00195CE3"/>
    <w:rsid w:val="001A702B"/>
    <w:rsid w:val="002047FE"/>
    <w:rsid w:val="002512E6"/>
    <w:rsid w:val="0037745D"/>
    <w:rsid w:val="003A19AA"/>
    <w:rsid w:val="00425475"/>
    <w:rsid w:val="00441DE3"/>
    <w:rsid w:val="0054010B"/>
    <w:rsid w:val="00551F45"/>
    <w:rsid w:val="005B6CDE"/>
    <w:rsid w:val="00652BCA"/>
    <w:rsid w:val="00654713"/>
    <w:rsid w:val="0065481A"/>
    <w:rsid w:val="00821164"/>
    <w:rsid w:val="00870640"/>
    <w:rsid w:val="00887A4B"/>
    <w:rsid w:val="008F02C6"/>
    <w:rsid w:val="009402DA"/>
    <w:rsid w:val="009471E0"/>
    <w:rsid w:val="00960533"/>
    <w:rsid w:val="009978BA"/>
    <w:rsid w:val="00A015CC"/>
    <w:rsid w:val="00A21381"/>
    <w:rsid w:val="00A23F7F"/>
    <w:rsid w:val="00A472BB"/>
    <w:rsid w:val="00AB7A46"/>
    <w:rsid w:val="00B0529E"/>
    <w:rsid w:val="00B90B30"/>
    <w:rsid w:val="00BC4F44"/>
    <w:rsid w:val="00BE2DD1"/>
    <w:rsid w:val="00BF75ED"/>
    <w:rsid w:val="00C340D6"/>
    <w:rsid w:val="00C4742C"/>
    <w:rsid w:val="00D5184C"/>
    <w:rsid w:val="00DB7BB0"/>
    <w:rsid w:val="00E25B4B"/>
    <w:rsid w:val="00EA7060"/>
    <w:rsid w:val="00FA6D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9E"/>
    <w:pPr>
      <w:spacing w:before="120" w:after="120"/>
    </w:pPr>
  </w:style>
  <w:style w:type="paragraph" w:styleId="Titre1">
    <w:name w:val="heading 1"/>
    <w:basedOn w:val="Normal"/>
    <w:next w:val="Normal"/>
    <w:link w:val="Titre1Car"/>
    <w:uiPriority w:val="9"/>
    <w:qFormat/>
    <w:rsid w:val="00B0529E"/>
    <w:pPr>
      <w:numPr>
        <w:numId w:val="30"/>
      </w:numPr>
      <w:pBdr>
        <w:bottom w:val="single" w:sz="12" w:space="1" w:color="A8422A" w:themeColor="accent1" w:themeShade="BF"/>
      </w:pBdr>
      <w:spacing w:before="600" w:after="80"/>
      <w:outlineLvl w:val="0"/>
    </w:pPr>
    <w:rPr>
      <w:rFonts w:asciiTheme="majorHAnsi" w:eastAsiaTheme="majorEastAsia" w:hAnsiTheme="majorHAnsi" w:cstheme="majorBidi"/>
      <w:b/>
      <w:bCs/>
      <w:color w:val="A8422A" w:themeColor="accent1" w:themeShade="BF"/>
      <w:sz w:val="24"/>
      <w:szCs w:val="24"/>
    </w:rPr>
  </w:style>
  <w:style w:type="paragraph" w:styleId="Titre2">
    <w:name w:val="heading 2"/>
    <w:basedOn w:val="Normal"/>
    <w:next w:val="Normal"/>
    <w:link w:val="Titre2Car"/>
    <w:uiPriority w:val="9"/>
    <w:unhideWhenUsed/>
    <w:qFormat/>
    <w:rsid w:val="00B0529E"/>
    <w:pPr>
      <w:numPr>
        <w:ilvl w:val="1"/>
        <w:numId w:val="30"/>
      </w:numPr>
      <w:pBdr>
        <w:bottom w:val="single" w:sz="8" w:space="1" w:color="D16349" w:themeColor="accent1"/>
      </w:pBdr>
      <w:spacing w:before="200" w:after="80"/>
      <w:outlineLvl w:val="1"/>
    </w:pPr>
    <w:rPr>
      <w:rFonts w:asciiTheme="majorHAnsi" w:eastAsiaTheme="majorEastAsia" w:hAnsiTheme="majorHAnsi" w:cstheme="majorBidi"/>
      <w:color w:val="A8422A" w:themeColor="accent1" w:themeShade="BF"/>
      <w:sz w:val="24"/>
      <w:szCs w:val="24"/>
    </w:rPr>
  </w:style>
  <w:style w:type="paragraph" w:styleId="Titre3">
    <w:name w:val="heading 3"/>
    <w:basedOn w:val="Normal"/>
    <w:next w:val="Normal"/>
    <w:link w:val="Titre3Car"/>
    <w:uiPriority w:val="9"/>
    <w:unhideWhenUsed/>
    <w:qFormat/>
    <w:rsid w:val="00B0529E"/>
    <w:pPr>
      <w:numPr>
        <w:ilvl w:val="2"/>
        <w:numId w:val="30"/>
      </w:numPr>
      <w:pBdr>
        <w:bottom w:val="single" w:sz="4" w:space="1" w:color="E3A191" w:themeColor="accent1" w:themeTint="99"/>
      </w:pBdr>
      <w:spacing w:before="200" w:after="80"/>
      <w:outlineLvl w:val="2"/>
    </w:pPr>
    <w:rPr>
      <w:rFonts w:asciiTheme="majorHAnsi" w:eastAsiaTheme="majorEastAsia" w:hAnsiTheme="majorHAnsi" w:cstheme="majorBidi"/>
      <w:color w:val="D16349" w:themeColor="accent1"/>
      <w:sz w:val="24"/>
      <w:szCs w:val="24"/>
    </w:rPr>
  </w:style>
  <w:style w:type="paragraph" w:styleId="Titre4">
    <w:name w:val="heading 4"/>
    <w:basedOn w:val="Normal"/>
    <w:next w:val="Normal"/>
    <w:link w:val="Titre4Car"/>
    <w:uiPriority w:val="9"/>
    <w:unhideWhenUsed/>
    <w:qFormat/>
    <w:rsid w:val="00B0529E"/>
    <w:pPr>
      <w:numPr>
        <w:ilvl w:val="3"/>
        <w:numId w:val="30"/>
      </w:numPr>
      <w:pBdr>
        <w:bottom w:val="single" w:sz="4" w:space="2" w:color="ECC0B6" w:themeColor="accent1" w:themeTint="66"/>
      </w:pBdr>
      <w:spacing w:before="200" w:after="80"/>
      <w:outlineLvl w:val="3"/>
    </w:pPr>
    <w:rPr>
      <w:rFonts w:asciiTheme="majorHAnsi" w:eastAsiaTheme="majorEastAsia" w:hAnsiTheme="majorHAnsi" w:cstheme="majorBidi"/>
      <w:i/>
      <w:iCs/>
      <w:color w:val="D16349" w:themeColor="accent1"/>
      <w:sz w:val="24"/>
      <w:szCs w:val="24"/>
    </w:rPr>
  </w:style>
  <w:style w:type="paragraph" w:styleId="Titre5">
    <w:name w:val="heading 5"/>
    <w:basedOn w:val="Normal"/>
    <w:next w:val="Normal"/>
    <w:link w:val="Titre5Car"/>
    <w:uiPriority w:val="9"/>
    <w:unhideWhenUsed/>
    <w:qFormat/>
    <w:rsid w:val="00B0529E"/>
    <w:pPr>
      <w:numPr>
        <w:ilvl w:val="4"/>
        <w:numId w:val="30"/>
      </w:numPr>
      <w:spacing w:before="200" w:after="80"/>
      <w:outlineLvl w:val="4"/>
    </w:pPr>
    <w:rPr>
      <w:rFonts w:asciiTheme="majorHAnsi" w:eastAsiaTheme="majorEastAsia" w:hAnsiTheme="majorHAnsi" w:cstheme="majorBidi"/>
      <w:color w:val="D16349" w:themeColor="accent1"/>
    </w:rPr>
  </w:style>
  <w:style w:type="paragraph" w:styleId="Titre6">
    <w:name w:val="heading 6"/>
    <w:basedOn w:val="Normal"/>
    <w:next w:val="Normal"/>
    <w:link w:val="Titre6Car"/>
    <w:uiPriority w:val="9"/>
    <w:unhideWhenUsed/>
    <w:qFormat/>
    <w:rsid w:val="00B0529E"/>
    <w:pPr>
      <w:numPr>
        <w:ilvl w:val="5"/>
        <w:numId w:val="30"/>
      </w:numPr>
      <w:spacing w:before="280" w:after="100"/>
      <w:outlineLvl w:val="5"/>
    </w:pPr>
    <w:rPr>
      <w:rFonts w:asciiTheme="majorHAnsi" w:eastAsiaTheme="majorEastAsia" w:hAnsiTheme="majorHAnsi" w:cstheme="majorBidi"/>
      <w:i/>
      <w:iCs/>
      <w:color w:val="D16349" w:themeColor="accent1"/>
    </w:rPr>
  </w:style>
  <w:style w:type="paragraph" w:styleId="Titre7">
    <w:name w:val="heading 7"/>
    <w:basedOn w:val="Normal"/>
    <w:next w:val="Normal"/>
    <w:link w:val="Titre7Car"/>
    <w:uiPriority w:val="9"/>
    <w:semiHidden/>
    <w:unhideWhenUsed/>
    <w:qFormat/>
    <w:rsid w:val="00B0529E"/>
    <w:pPr>
      <w:numPr>
        <w:ilvl w:val="6"/>
        <w:numId w:val="30"/>
      </w:numPr>
      <w:spacing w:before="320" w:after="100"/>
      <w:outlineLvl w:val="6"/>
    </w:pPr>
    <w:rPr>
      <w:rFonts w:asciiTheme="majorHAnsi" w:eastAsiaTheme="majorEastAsia" w:hAnsiTheme="majorHAnsi" w:cstheme="majorBidi"/>
      <w:b/>
      <w:bCs/>
      <w:color w:val="8CADAE" w:themeColor="accent3"/>
      <w:sz w:val="20"/>
      <w:szCs w:val="20"/>
    </w:rPr>
  </w:style>
  <w:style w:type="paragraph" w:styleId="Titre8">
    <w:name w:val="heading 8"/>
    <w:basedOn w:val="Normal"/>
    <w:next w:val="Normal"/>
    <w:link w:val="Titre8Car"/>
    <w:uiPriority w:val="9"/>
    <w:semiHidden/>
    <w:unhideWhenUsed/>
    <w:qFormat/>
    <w:rsid w:val="00B0529E"/>
    <w:pPr>
      <w:numPr>
        <w:ilvl w:val="7"/>
        <w:numId w:val="30"/>
      </w:numPr>
      <w:spacing w:before="320" w:after="100"/>
      <w:outlineLvl w:val="7"/>
    </w:pPr>
    <w:rPr>
      <w:rFonts w:asciiTheme="majorHAnsi" w:eastAsiaTheme="majorEastAsia" w:hAnsiTheme="majorHAnsi" w:cstheme="majorBidi"/>
      <w:b/>
      <w:bCs/>
      <w:i/>
      <w:iCs/>
      <w:color w:val="8CADAE" w:themeColor="accent3"/>
      <w:sz w:val="20"/>
      <w:szCs w:val="20"/>
    </w:rPr>
  </w:style>
  <w:style w:type="paragraph" w:styleId="Titre9">
    <w:name w:val="heading 9"/>
    <w:basedOn w:val="Normal"/>
    <w:next w:val="Normal"/>
    <w:link w:val="Titre9Car"/>
    <w:uiPriority w:val="9"/>
    <w:semiHidden/>
    <w:unhideWhenUsed/>
    <w:qFormat/>
    <w:rsid w:val="00B0529E"/>
    <w:pPr>
      <w:numPr>
        <w:ilvl w:val="8"/>
        <w:numId w:val="30"/>
      </w:numPr>
      <w:spacing w:before="320" w:after="100"/>
      <w:outlineLvl w:val="8"/>
    </w:pPr>
    <w:rPr>
      <w:rFonts w:asciiTheme="majorHAnsi" w:eastAsiaTheme="majorEastAsia" w:hAnsiTheme="majorHAnsi" w:cstheme="majorBidi"/>
      <w:i/>
      <w:iCs/>
      <w:color w:val="8CADAE"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529E"/>
    <w:rPr>
      <w:rFonts w:asciiTheme="majorHAnsi" w:eastAsiaTheme="majorEastAsia" w:hAnsiTheme="majorHAnsi" w:cstheme="majorBidi"/>
      <w:b/>
      <w:bCs/>
      <w:color w:val="A8422A" w:themeColor="accent1" w:themeShade="BF"/>
      <w:sz w:val="24"/>
      <w:szCs w:val="24"/>
    </w:rPr>
  </w:style>
  <w:style w:type="character" w:customStyle="1" w:styleId="Titre2Car">
    <w:name w:val="Titre 2 Car"/>
    <w:basedOn w:val="Policepardfaut"/>
    <w:link w:val="Titre2"/>
    <w:uiPriority w:val="9"/>
    <w:rsid w:val="00B0529E"/>
    <w:rPr>
      <w:rFonts w:asciiTheme="majorHAnsi" w:eastAsiaTheme="majorEastAsia" w:hAnsiTheme="majorHAnsi" w:cstheme="majorBidi"/>
      <w:color w:val="A8422A" w:themeColor="accent1" w:themeShade="BF"/>
      <w:sz w:val="24"/>
      <w:szCs w:val="24"/>
    </w:rPr>
  </w:style>
  <w:style w:type="character" w:customStyle="1" w:styleId="Titre3Car">
    <w:name w:val="Titre 3 Car"/>
    <w:basedOn w:val="Policepardfaut"/>
    <w:link w:val="Titre3"/>
    <w:uiPriority w:val="9"/>
    <w:rsid w:val="00B0529E"/>
    <w:rPr>
      <w:rFonts w:asciiTheme="majorHAnsi" w:eastAsiaTheme="majorEastAsia" w:hAnsiTheme="majorHAnsi" w:cstheme="majorBidi"/>
      <w:color w:val="D16349" w:themeColor="accent1"/>
      <w:sz w:val="24"/>
      <w:szCs w:val="24"/>
    </w:rPr>
  </w:style>
  <w:style w:type="character" w:customStyle="1" w:styleId="Titre4Car">
    <w:name w:val="Titre 4 Car"/>
    <w:basedOn w:val="Policepardfaut"/>
    <w:link w:val="Titre4"/>
    <w:uiPriority w:val="9"/>
    <w:rsid w:val="00B0529E"/>
    <w:rPr>
      <w:rFonts w:asciiTheme="majorHAnsi" w:eastAsiaTheme="majorEastAsia" w:hAnsiTheme="majorHAnsi" w:cstheme="majorBidi"/>
      <w:i/>
      <w:iCs/>
      <w:color w:val="D16349" w:themeColor="accent1"/>
      <w:sz w:val="24"/>
      <w:szCs w:val="24"/>
    </w:rPr>
  </w:style>
  <w:style w:type="character" w:customStyle="1" w:styleId="Titre5Car">
    <w:name w:val="Titre 5 Car"/>
    <w:basedOn w:val="Policepardfaut"/>
    <w:link w:val="Titre5"/>
    <w:uiPriority w:val="9"/>
    <w:rsid w:val="00B0529E"/>
    <w:rPr>
      <w:rFonts w:asciiTheme="majorHAnsi" w:eastAsiaTheme="majorEastAsia" w:hAnsiTheme="majorHAnsi" w:cstheme="majorBidi"/>
      <w:color w:val="D16349" w:themeColor="accent1"/>
    </w:rPr>
  </w:style>
  <w:style w:type="character" w:customStyle="1" w:styleId="Titre6Car">
    <w:name w:val="Titre 6 Car"/>
    <w:basedOn w:val="Policepardfaut"/>
    <w:link w:val="Titre6"/>
    <w:uiPriority w:val="9"/>
    <w:rsid w:val="00B0529E"/>
    <w:rPr>
      <w:rFonts w:asciiTheme="majorHAnsi" w:eastAsiaTheme="majorEastAsia" w:hAnsiTheme="majorHAnsi" w:cstheme="majorBidi"/>
      <w:i/>
      <w:iCs/>
      <w:color w:val="D16349" w:themeColor="accent1"/>
    </w:rPr>
  </w:style>
  <w:style w:type="character" w:customStyle="1" w:styleId="Titre7Car">
    <w:name w:val="Titre 7 Car"/>
    <w:basedOn w:val="Policepardfaut"/>
    <w:link w:val="Titre7"/>
    <w:uiPriority w:val="9"/>
    <w:semiHidden/>
    <w:rsid w:val="00B0529E"/>
    <w:rPr>
      <w:rFonts w:asciiTheme="majorHAnsi" w:eastAsiaTheme="majorEastAsia" w:hAnsiTheme="majorHAnsi" w:cstheme="majorBidi"/>
      <w:b/>
      <w:bCs/>
      <w:color w:val="8CADAE" w:themeColor="accent3"/>
      <w:sz w:val="20"/>
      <w:szCs w:val="20"/>
    </w:rPr>
  </w:style>
  <w:style w:type="character" w:customStyle="1" w:styleId="Titre8Car">
    <w:name w:val="Titre 8 Car"/>
    <w:basedOn w:val="Policepardfaut"/>
    <w:link w:val="Titre8"/>
    <w:uiPriority w:val="9"/>
    <w:semiHidden/>
    <w:rsid w:val="00B0529E"/>
    <w:rPr>
      <w:rFonts w:asciiTheme="majorHAnsi" w:eastAsiaTheme="majorEastAsia" w:hAnsiTheme="majorHAnsi" w:cstheme="majorBidi"/>
      <w:b/>
      <w:bCs/>
      <w:i/>
      <w:iCs/>
      <w:color w:val="8CADAE" w:themeColor="accent3"/>
      <w:sz w:val="20"/>
      <w:szCs w:val="20"/>
    </w:rPr>
  </w:style>
  <w:style w:type="character" w:customStyle="1" w:styleId="Titre9Car">
    <w:name w:val="Titre 9 Car"/>
    <w:basedOn w:val="Policepardfaut"/>
    <w:link w:val="Titre9"/>
    <w:uiPriority w:val="9"/>
    <w:semiHidden/>
    <w:rsid w:val="00B0529E"/>
    <w:rPr>
      <w:rFonts w:asciiTheme="majorHAnsi" w:eastAsiaTheme="majorEastAsia" w:hAnsiTheme="majorHAnsi" w:cstheme="majorBidi"/>
      <w:i/>
      <w:iCs/>
      <w:color w:val="8CADAE" w:themeColor="accent3"/>
      <w:sz w:val="20"/>
      <w:szCs w:val="20"/>
    </w:rPr>
  </w:style>
  <w:style w:type="paragraph" w:styleId="Lgende">
    <w:name w:val="caption"/>
    <w:basedOn w:val="Normal"/>
    <w:next w:val="Normal"/>
    <w:uiPriority w:val="35"/>
    <w:semiHidden/>
    <w:unhideWhenUsed/>
    <w:qFormat/>
    <w:rsid w:val="00B0529E"/>
    <w:rPr>
      <w:b/>
      <w:bCs/>
      <w:sz w:val="18"/>
      <w:szCs w:val="18"/>
    </w:rPr>
  </w:style>
  <w:style w:type="paragraph" w:styleId="Titre">
    <w:name w:val="Title"/>
    <w:basedOn w:val="Normal"/>
    <w:next w:val="Normal"/>
    <w:link w:val="TitreCar"/>
    <w:uiPriority w:val="10"/>
    <w:qFormat/>
    <w:rsid w:val="00B0529E"/>
    <w:pPr>
      <w:pBdr>
        <w:top w:val="single" w:sz="8" w:space="10" w:color="E8B0A4" w:themeColor="accent1" w:themeTint="7F"/>
        <w:bottom w:val="single" w:sz="24" w:space="15" w:color="8CADAE" w:themeColor="accent3"/>
      </w:pBdr>
      <w:ind w:firstLine="0"/>
      <w:jc w:val="center"/>
    </w:pPr>
    <w:rPr>
      <w:rFonts w:asciiTheme="majorHAnsi" w:eastAsiaTheme="majorEastAsia" w:hAnsiTheme="majorHAnsi" w:cstheme="majorBidi"/>
      <w:i/>
      <w:iCs/>
      <w:color w:val="6F2C1C" w:themeColor="accent1" w:themeShade="7F"/>
      <w:sz w:val="60"/>
      <w:szCs w:val="60"/>
    </w:rPr>
  </w:style>
  <w:style w:type="character" w:customStyle="1" w:styleId="TitreCar">
    <w:name w:val="Titre Car"/>
    <w:basedOn w:val="Policepardfaut"/>
    <w:link w:val="Titre"/>
    <w:uiPriority w:val="10"/>
    <w:rsid w:val="00B0529E"/>
    <w:rPr>
      <w:rFonts w:asciiTheme="majorHAnsi" w:eastAsiaTheme="majorEastAsia" w:hAnsiTheme="majorHAnsi" w:cstheme="majorBidi"/>
      <w:i/>
      <w:iCs/>
      <w:color w:val="6F2C1C" w:themeColor="accent1" w:themeShade="7F"/>
      <w:sz w:val="60"/>
      <w:szCs w:val="60"/>
    </w:rPr>
  </w:style>
  <w:style w:type="paragraph" w:styleId="Sous-titre">
    <w:name w:val="Subtitle"/>
    <w:basedOn w:val="Normal"/>
    <w:next w:val="Normal"/>
    <w:link w:val="Sous-titreCar"/>
    <w:uiPriority w:val="11"/>
    <w:qFormat/>
    <w:rsid w:val="00B0529E"/>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B0529E"/>
    <w:rPr>
      <w:rFonts w:asciiTheme="minorHAnsi"/>
      <w:i/>
      <w:iCs/>
      <w:sz w:val="24"/>
      <w:szCs w:val="24"/>
    </w:rPr>
  </w:style>
  <w:style w:type="character" w:styleId="lev">
    <w:name w:val="Strong"/>
    <w:basedOn w:val="Policepardfaut"/>
    <w:uiPriority w:val="22"/>
    <w:qFormat/>
    <w:rsid w:val="00B0529E"/>
    <w:rPr>
      <w:b/>
      <w:bCs/>
      <w:spacing w:val="0"/>
    </w:rPr>
  </w:style>
  <w:style w:type="character" w:styleId="Accentuation">
    <w:name w:val="Emphasis"/>
    <w:uiPriority w:val="20"/>
    <w:qFormat/>
    <w:rsid w:val="00B0529E"/>
    <w:rPr>
      <w:b/>
      <w:bCs/>
      <w:i/>
      <w:iCs/>
      <w:color w:val="5A5A5A" w:themeColor="text1" w:themeTint="A5"/>
    </w:rPr>
  </w:style>
  <w:style w:type="paragraph" w:styleId="Sansinterligne">
    <w:name w:val="No Spacing"/>
    <w:basedOn w:val="Normal"/>
    <w:link w:val="SansinterligneCar"/>
    <w:uiPriority w:val="1"/>
    <w:qFormat/>
    <w:rsid w:val="00B0529E"/>
    <w:pPr>
      <w:ind w:firstLine="0"/>
    </w:pPr>
  </w:style>
  <w:style w:type="paragraph" w:styleId="Paragraphedeliste">
    <w:name w:val="List Paragraph"/>
    <w:basedOn w:val="Normal"/>
    <w:uiPriority w:val="34"/>
    <w:qFormat/>
    <w:rsid w:val="00B0529E"/>
    <w:pPr>
      <w:ind w:left="720"/>
      <w:contextualSpacing/>
    </w:pPr>
  </w:style>
  <w:style w:type="paragraph" w:styleId="Citation">
    <w:name w:val="Quote"/>
    <w:basedOn w:val="Normal"/>
    <w:next w:val="Normal"/>
    <w:link w:val="CitationCar"/>
    <w:uiPriority w:val="29"/>
    <w:qFormat/>
    <w:rsid w:val="00B0529E"/>
    <w:rPr>
      <w:rFonts w:asciiTheme="majorHAnsi" w:eastAsiaTheme="majorEastAsia" w:hAnsiTheme="majorHAnsi" w:cstheme="majorBidi"/>
      <w:i/>
      <w:iCs/>
      <w:color w:val="5A5A5A" w:themeColor="text1" w:themeTint="A5"/>
      <w:lang w:val="fr-FR"/>
    </w:rPr>
  </w:style>
  <w:style w:type="character" w:customStyle="1" w:styleId="CitationCar">
    <w:name w:val="Citation Car"/>
    <w:basedOn w:val="Policepardfaut"/>
    <w:link w:val="Citation"/>
    <w:uiPriority w:val="29"/>
    <w:rsid w:val="00B0529E"/>
    <w:rPr>
      <w:rFonts w:asciiTheme="majorHAnsi" w:eastAsiaTheme="majorEastAsia" w:hAnsiTheme="majorHAnsi" w:cstheme="majorBidi"/>
      <w:i/>
      <w:iCs/>
      <w:color w:val="5A5A5A" w:themeColor="text1" w:themeTint="A5"/>
      <w:lang w:val="fr-FR"/>
    </w:rPr>
  </w:style>
  <w:style w:type="paragraph" w:styleId="Citationintense">
    <w:name w:val="Intense Quote"/>
    <w:basedOn w:val="Normal"/>
    <w:next w:val="Normal"/>
    <w:link w:val="CitationintenseCar"/>
    <w:uiPriority w:val="30"/>
    <w:qFormat/>
    <w:rsid w:val="00B0529E"/>
    <w:pPr>
      <w:pBdr>
        <w:top w:val="single" w:sz="12" w:space="10" w:color="ECC0B6" w:themeColor="accent1" w:themeTint="66"/>
        <w:left w:val="single" w:sz="36" w:space="4" w:color="D16349" w:themeColor="accent1"/>
        <w:bottom w:val="single" w:sz="24" w:space="10" w:color="8CADAE" w:themeColor="accent3"/>
        <w:right w:val="single" w:sz="36" w:space="4" w:color="D16349" w:themeColor="accent1"/>
      </w:pBdr>
      <w:shd w:val="clear" w:color="auto" w:fill="D16349"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B0529E"/>
    <w:rPr>
      <w:rFonts w:asciiTheme="majorHAnsi" w:eastAsiaTheme="majorEastAsia" w:hAnsiTheme="majorHAnsi" w:cstheme="majorBidi"/>
      <w:i/>
      <w:iCs/>
      <w:color w:val="FFFFFF" w:themeColor="background1"/>
      <w:sz w:val="24"/>
      <w:szCs w:val="24"/>
      <w:shd w:val="clear" w:color="auto" w:fill="D16349" w:themeFill="accent1"/>
    </w:rPr>
  </w:style>
  <w:style w:type="character" w:styleId="Emphaseple">
    <w:name w:val="Subtle Emphasis"/>
    <w:uiPriority w:val="19"/>
    <w:qFormat/>
    <w:rsid w:val="00B0529E"/>
    <w:rPr>
      <w:i/>
      <w:iCs/>
      <w:color w:val="5A5A5A" w:themeColor="text1" w:themeTint="A5"/>
    </w:rPr>
  </w:style>
  <w:style w:type="character" w:styleId="Emphaseintense">
    <w:name w:val="Intense Emphasis"/>
    <w:uiPriority w:val="21"/>
    <w:qFormat/>
    <w:rsid w:val="00B0529E"/>
    <w:rPr>
      <w:b/>
      <w:bCs/>
      <w:i/>
      <w:iCs/>
      <w:color w:val="D16349" w:themeColor="accent1"/>
      <w:sz w:val="22"/>
      <w:szCs w:val="22"/>
    </w:rPr>
  </w:style>
  <w:style w:type="character" w:styleId="Rfrenceple">
    <w:name w:val="Subtle Reference"/>
    <w:uiPriority w:val="31"/>
    <w:qFormat/>
    <w:rsid w:val="00B0529E"/>
    <w:rPr>
      <w:color w:val="auto"/>
      <w:u w:val="single" w:color="8CADAE" w:themeColor="accent3"/>
    </w:rPr>
  </w:style>
  <w:style w:type="character" w:styleId="Rfrenceintense">
    <w:name w:val="Intense Reference"/>
    <w:basedOn w:val="Policepardfaut"/>
    <w:uiPriority w:val="32"/>
    <w:qFormat/>
    <w:rsid w:val="00B0529E"/>
    <w:rPr>
      <w:b/>
      <w:bCs/>
      <w:color w:val="618889" w:themeColor="accent3" w:themeShade="BF"/>
      <w:u w:val="single" w:color="8CADAE" w:themeColor="accent3"/>
    </w:rPr>
  </w:style>
  <w:style w:type="character" w:styleId="Titredulivre">
    <w:name w:val="Book Title"/>
    <w:basedOn w:val="Policepardfaut"/>
    <w:uiPriority w:val="33"/>
    <w:qFormat/>
    <w:rsid w:val="00B0529E"/>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B0529E"/>
    <w:pPr>
      <w:numPr>
        <w:numId w:val="0"/>
      </w:numPr>
      <w:outlineLvl w:val="9"/>
    </w:pPr>
  </w:style>
  <w:style w:type="character" w:customStyle="1" w:styleId="SansinterligneCar">
    <w:name w:val="Sans interligne Car"/>
    <w:basedOn w:val="Policepardfaut"/>
    <w:link w:val="Sansinterligne"/>
    <w:uiPriority w:val="1"/>
    <w:rsid w:val="00B0529E"/>
  </w:style>
  <w:style w:type="character" w:styleId="Textedelespacerserv">
    <w:name w:val="Placeholder Text"/>
    <w:basedOn w:val="Policepardfaut"/>
    <w:uiPriority w:val="99"/>
    <w:semiHidden/>
    <w:rsid w:val="0004001D"/>
    <w:rPr>
      <w:color w:val="808080"/>
    </w:rPr>
  </w:style>
  <w:style w:type="paragraph" w:styleId="Textedebulles">
    <w:name w:val="Balloon Text"/>
    <w:basedOn w:val="Normal"/>
    <w:link w:val="TextedebullesCar"/>
    <w:uiPriority w:val="99"/>
    <w:semiHidden/>
    <w:unhideWhenUsed/>
    <w:rsid w:val="0004001D"/>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001D"/>
    <w:rPr>
      <w:rFonts w:ascii="Tahoma" w:hAnsi="Tahoma" w:cs="Tahoma"/>
      <w:sz w:val="16"/>
      <w:szCs w:val="16"/>
    </w:rPr>
  </w:style>
  <w:style w:type="table" w:styleId="Grilledutableau">
    <w:name w:val="Table Grid"/>
    <w:basedOn w:val="TableauNormal"/>
    <w:uiPriority w:val="59"/>
    <w:rsid w:val="00A23F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M1">
    <w:name w:val="toc 1"/>
    <w:basedOn w:val="Normal"/>
    <w:next w:val="Normal"/>
    <w:autoRedefine/>
    <w:uiPriority w:val="39"/>
    <w:unhideWhenUsed/>
    <w:rsid w:val="009978BA"/>
    <w:pPr>
      <w:spacing w:after="100"/>
    </w:pPr>
  </w:style>
  <w:style w:type="paragraph" w:styleId="TM2">
    <w:name w:val="toc 2"/>
    <w:basedOn w:val="Normal"/>
    <w:next w:val="Normal"/>
    <w:autoRedefine/>
    <w:uiPriority w:val="39"/>
    <w:unhideWhenUsed/>
    <w:rsid w:val="009978BA"/>
    <w:pPr>
      <w:spacing w:after="100"/>
      <w:ind w:left="220"/>
    </w:pPr>
  </w:style>
  <w:style w:type="paragraph" w:styleId="TM3">
    <w:name w:val="toc 3"/>
    <w:basedOn w:val="Normal"/>
    <w:next w:val="Normal"/>
    <w:autoRedefine/>
    <w:uiPriority w:val="39"/>
    <w:unhideWhenUsed/>
    <w:rsid w:val="009978BA"/>
    <w:pPr>
      <w:spacing w:after="100"/>
      <w:ind w:left="440"/>
    </w:pPr>
  </w:style>
  <w:style w:type="character" w:styleId="Lienhypertexte">
    <w:name w:val="Hyperlink"/>
    <w:basedOn w:val="Policepardfaut"/>
    <w:uiPriority w:val="99"/>
    <w:unhideWhenUsed/>
    <w:rsid w:val="009978BA"/>
    <w:rPr>
      <w:color w:val="00A3D6" w:themeColor="hyperlink"/>
      <w:u w:val="single"/>
    </w:rPr>
  </w:style>
  <w:style w:type="paragraph" w:styleId="En-tte">
    <w:name w:val="header"/>
    <w:basedOn w:val="Normal"/>
    <w:link w:val="En-tteCar"/>
    <w:uiPriority w:val="99"/>
    <w:semiHidden/>
    <w:unhideWhenUsed/>
    <w:rsid w:val="009978BA"/>
    <w:pPr>
      <w:tabs>
        <w:tab w:val="center" w:pos="4536"/>
        <w:tab w:val="right" w:pos="9072"/>
      </w:tabs>
      <w:spacing w:before="0" w:after="0"/>
    </w:pPr>
  </w:style>
  <w:style w:type="character" w:customStyle="1" w:styleId="En-tteCar">
    <w:name w:val="En-tête Car"/>
    <w:basedOn w:val="Policepardfaut"/>
    <w:link w:val="En-tte"/>
    <w:uiPriority w:val="99"/>
    <w:semiHidden/>
    <w:rsid w:val="009978BA"/>
  </w:style>
  <w:style w:type="paragraph" w:styleId="Pieddepage">
    <w:name w:val="footer"/>
    <w:basedOn w:val="Normal"/>
    <w:link w:val="PieddepageCar"/>
    <w:uiPriority w:val="99"/>
    <w:unhideWhenUsed/>
    <w:rsid w:val="009978BA"/>
    <w:pPr>
      <w:tabs>
        <w:tab w:val="center" w:pos="4536"/>
        <w:tab w:val="right" w:pos="9072"/>
      </w:tabs>
      <w:spacing w:before="0" w:after="0"/>
    </w:pPr>
  </w:style>
  <w:style w:type="character" w:customStyle="1" w:styleId="PieddepageCar">
    <w:name w:val="Pied de page Car"/>
    <w:basedOn w:val="Policepardfaut"/>
    <w:link w:val="Pieddepage"/>
    <w:uiPriority w:val="99"/>
    <w:rsid w:val="009978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A0ED4A-657D-4BCA-8710-E7F0D1716962}" type="doc">
      <dgm:prSet loTypeId="urn:microsoft.com/office/officeart/2005/8/layout/hierarchy6" loCatId="hierarchy" qsTypeId="urn:microsoft.com/office/officeart/2005/8/quickstyle/simple1" qsCatId="simple" csTypeId="urn:microsoft.com/office/officeart/2005/8/colors/accent1_4" csCatId="accent1" phldr="1"/>
      <dgm:spPr/>
      <dgm:t>
        <a:bodyPr/>
        <a:lstStyle/>
        <a:p>
          <a:endParaRPr lang="fr-FR"/>
        </a:p>
      </dgm:t>
    </dgm:pt>
    <dgm:pt modelId="{BFC974C1-EAC0-4E12-A2F6-A6C1D0305617}">
      <dgm:prSet phldrT="[Texte]"/>
      <dgm:spPr/>
      <dgm:t>
        <a:bodyPr/>
        <a:lstStyle/>
        <a:p>
          <a:pPr algn="ctr"/>
          <a:r>
            <a:rPr lang="fr-FR">
              <a:latin typeface="Times New Roman"/>
              <a:cs typeface="Times New Roman"/>
            </a:rPr>
            <a:t>≠</a:t>
          </a:r>
          <a:endParaRPr lang="fr-FR"/>
        </a:p>
      </dgm:t>
    </dgm:pt>
    <dgm:pt modelId="{A9ED1D92-CAF2-45F2-B9DA-20629E9B0C86}" type="parTrans" cxnId="{AA8124E8-0480-4B19-8A37-E262A8851E95}">
      <dgm:prSet/>
      <dgm:spPr/>
      <dgm:t>
        <a:bodyPr/>
        <a:lstStyle/>
        <a:p>
          <a:pPr algn="ctr"/>
          <a:endParaRPr lang="fr-FR"/>
        </a:p>
      </dgm:t>
    </dgm:pt>
    <dgm:pt modelId="{624C9B4D-5D29-4FB8-9715-EE11E02A5607}" type="sibTrans" cxnId="{AA8124E8-0480-4B19-8A37-E262A8851E95}">
      <dgm:prSet/>
      <dgm:spPr/>
      <dgm:t>
        <a:bodyPr/>
        <a:lstStyle/>
        <a:p>
          <a:pPr algn="ctr"/>
          <a:endParaRPr lang="fr-FR"/>
        </a:p>
      </dgm:t>
    </dgm:pt>
    <dgm:pt modelId="{44D217B2-9FA2-477B-A8A8-E200AE5F0F41}">
      <dgm:prSet phldrT="[Texte]"/>
      <dgm:spPr/>
      <dgm:t>
        <a:bodyPr/>
        <a:lstStyle/>
        <a:p>
          <a:pPr algn="ctr"/>
          <a:r>
            <a:rPr lang="fr-FR"/>
            <a:t>flux de trésorerie potentielle</a:t>
          </a:r>
        </a:p>
      </dgm:t>
    </dgm:pt>
    <dgm:pt modelId="{243EE8B6-2554-4756-8CF5-DD305C99A959}" type="parTrans" cxnId="{4A924F22-B6E1-4EB0-A4D1-25E7ABDABB0D}">
      <dgm:prSet/>
      <dgm:spPr/>
      <dgm:t>
        <a:bodyPr/>
        <a:lstStyle/>
        <a:p>
          <a:pPr algn="ctr"/>
          <a:endParaRPr lang="fr-FR"/>
        </a:p>
      </dgm:t>
    </dgm:pt>
    <dgm:pt modelId="{1419E40A-7654-4936-8518-778D23C21948}" type="sibTrans" cxnId="{4A924F22-B6E1-4EB0-A4D1-25E7ABDABB0D}">
      <dgm:prSet/>
      <dgm:spPr/>
      <dgm:t>
        <a:bodyPr/>
        <a:lstStyle/>
        <a:p>
          <a:pPr algn="ctr"/>
          <a:endParaRPr lang="fr-FR"/>
        </a:p>
      </dgm:t>
    </dgm:pt>
    <dgm:pt modelId="{3F186B70-3282-4DC2-8210-EE20F6B849A1}">
      <dgm:prSet phldrT="[Texte]"/>
      <dgm:spPr/>
      <dgm:t>
        <a:bodyPr/>
        <a:lstStyle/>
        <a:p>
          <a:pPr algn="ctr"/>
          <a:r>
            <a:rPr lang="fr-FR"/>
            <a:t>flux de trésorerie réelle</a:t>
          </a:r>
        </a:p>
      </dgm:t>
    </dgm:pt>
    <dgm:pt modelId="{1D028028-0A87-40EB-BBBC-750B41C0EA3E}" type="parTrans" cxnId="{0678B8CA-12A6-4B64-8DD0-0C93583323F5}">
      <dgm:prSet/>
      <dgm:spPr/>
      <dgm:t>
        <a:bodyPr/>
        <a:lstStyle/>
        <a:p>
          <a:pPr algn="ctr"/>
          <a:endParaRPr lang="fr-FR"/>
        </a:p>
      </dgm:t>
    </dgm:pt>
    <dgm:pt modelId="{12D7C513-0BB9-4962-8554-F5CB08F8A525}" type="sibTrans" cxnId="{0678B8CA-12A6-4B64-8DD0-0C93583323F5}">
      <dgm:prSet/>
      <dgm:spPr/>
      <dgm:t>
        <a:bodyPr/>
        <a:lstStyle/>
        <a:p>
          <a:pPr algn="ctr"/>
          <a:endParaRPr lang="fr-FR"/>
        </a:p>
      </dgm:t>
    </dgm:pt>
    <dgm:pt modelId="{9BB75B43-AF48-4E12-AD87-FBF077A5B5F8}">
      <dgm:prSet phldrT="[Texte]"/>
      <dgm:spPr/>
      <dgm:t>
        <a:bodyPr/>
        <a:lstStyle/>
        <a:p>
          <a:pPr algn="ctr"/>
          <a:r>
            <a:rPr lang="fr-FR"/>
            <a:t>charges décaissables</a:t>
          </a:r>
        </a:p>
      </dgm:t>
    </dgm:pt>
    <dgm:pt modelId="{27D86D8D-643A-4A28-8CF9-91091BE9F2B7}" type="parTrans" cxnId="{3C370E42-7B2D-479C-BA00-AC369371F22D}">
      <dgm:prSet/>
      <dgm:spPr/>
      <dgm:t>
        <a:bodyPr/>
        <a:lstStyle/>
        <a:p>
          <a:pPr algn="ctr"/>
          <a:endParaRPr lang="fr-FR"/>
        </a:p>
      </dgm:t>
    </dgm:pt>
    <dgm:pt modelId="{70C891E3-0FA8-4945-BA05-F6254B30735C}" type="sibTrans" cxnId="{3C370E42-7B2D-479C-BA00-AC369371F22D}">
      <dgm:prSet/>
      <dgm:spPr/>
      <dgm:t>
        <a:bodyPr/>
        <a:lstStyle/>
        <a:p>
          <a:pPr algn="ctr"/>
          <a:endParaRPr lang="fr-FR"/>
        </a:p>
      </dgm:t>
    </dgm:pt>
    <dgm:pt modelId="{5443EF6C-A9C5-4FA5-BA26-3892D5BB51C3}">
      <dgm:prSet phldrT="[Texte]"/>
      <dgm:spPr/>
      <dgm:t>
        <a:bodyPr/>
        <a:lstStyle/>
        <a:p>
          <a:pPr algn="ctr"/>
          <a:r>
            <a:rPr lang="fr-FR"/>
            <a:t>produits encaissables</a:t>
          </a:r>
        </a:p>
      </dgm:t>
    </dgm:pt>
    <dgm:pt modelId="{82162309-0713-40E7-BFEF-B208F1658F6D}" type="parTrans" cxnId="{91F40527-EA7D-432D-AA93-29219915863E}">
      <dgm:prSet/>
      <dgm:spPr/>
      <dgm:t>
        <a:bodyPr/>
        <a:lstStyle/>
        <a:p>
          <a:pPr algn="ctr"/>
          <a:endParaRPr lang="fr-FR"/>
        </a:p>
      </dgm:t>
    </dgm:pt>
    <dgm:pt modelId="{A0A80D94-ED04-4F72-AF6E-F14B2276E388}" type="sibTrans" cxnId="{91F40527-EA7D-432D-AA93-29219915863E}">
      <dgm:prSet/>
      <dgm:spPr/>
      <dgm:t>
        <a:bodyPr/>
        <a:lstStyle/>
        <a:p>
          <a:pPr algn="ctr"/>
          <a:endParaRPr lang="fr-FR"/>
        </a:p>
      </dgm:t>
    </dgm:pt>
    <dgm:pt modelId="{AFC042F3-89DC-41A5-9963-9EB9C85BC53A}">
      <dgm:prSet phldrT="[Texte]"/>
      <dgm:spPr/>
      <dgm:t>
        <a:bodyPr/>
        <a:lstStyle/>
        <a:p>
          <a:pPr algn="ctr"/>
          <a:r>
            <a:rPr lang="fr-FR"/>
            <a:t>charges décaissées</a:t>
          </a:r>
        </a:p>
      </dgm:t>
    </dgm:pt>
    <dgm:pt modelId="{1BD68EB6-196E-4774-9A4A-EB594D9F286C}" type="parTrans" cxnId="{F49D1155-F009-4452-A96E-2BBDD074A163}">
      <dgm:prSet/>
      <dgm:spPr/>
      <dgm:t>
        <a:bodyPr/>
        <a:lstStyle/>
        <a:p>
          <a:pPr algn="ctr"/>
          <a:endParaRPr lang="fr-FR"/>
        </a:p>
      </dgm:t>
    </dgm:pt>
    <dgm:pt modelId="{B08DC0EB-3477-4D43-8757-2F5C9CC7A8DB}" type="sibTrans" cxnId="{F49D1155-F009-4452-A96E-2BBDD074A163}">
      <dgm:prSet/>
      <dgm:spPr/>
      <dgm:t>
        <a:bodyPr/>
        <a:lstStyle/>
        <a:p>
          <a:pPr algn="ctr"/>
          <a:endParaRPr lang="fr-FR"/>
        </a:p>
      </dgm:t>
    </dgm:pt>
    <dgm:pt modelId="{A0F485E0-78F0-40F9-ACA9-69A4BBA9BD87}">
      <dgm:prSet phldrT="[Texte]"/>
      <dgm:spPr/>
      <dgm:t>
        <a:bodyPr/>
        <a:lstStyle/>
        <a:p>
          <a:pPr algn="ctr"/>
          <a:r>
            <a:rPr lang="fr-FR"/>
            <a:t>produits encaissés</a:t>
          </a:r>
        </a:p>
      </dgm:t>
    </dgm:pt>
    <dgm:pt modelId="{4A767830-844B-42C7-A5EE-3261720B7AF6}" type="parTrans" cxnId="{DC4F5297-AE8C-4906-8086-130C1F53310F}">
      <dgm:prSet/>
      <dgm:spPr/>
      <dgm:t>
        <a:bodyPr/>
        <a:lstStyle/>
        <a:p>
          <a:pPr algn="ctr"/>
          <a:endParaRPr lang="fr-FR"/>
        </a:p>
      </dgm:t>
    </dgm:pt>
    <dgm:pt modelId="{E27C4A7B-555C-4BD7-9805-C03F132567CA}" type="sibTrans" cxnId="{DC4F5297-AE8C-4906-8086-130C1F53310F}">
      <dgm:prSet/>
      <dgm:spPr/>
      <dgm:t>
        <a:bodyPr/>
        <a:lstStyle/>
        <a:p>
          <a:pPr algn="ctr"/>
          <a:endParaRPr lang="fr-FR"/>
        </a:p>
      </dgm:t>
    </dgm:pt>
    <dgm:pt modelId="{01B3989D-2429-4D2E-8584-7E48187F73CB}" type="pres">
      <dgm:prSet presAssocID="{94A0ED4A-657D-4BCA-8710-E7F0D1716962}" presName="mainComposite" presStyleCnt="0">
        <dgm:presLayoutVars>
          <dgm:chPref val="1"/>
          <dgm:dir/>
          <dgm:animOne val="branch"/>
          <dgm:animLvl val="lvl"/>
          <dgm:resizeHandles val="exact"/>
        </dgm:presLayoutVars>
      </dgm:prSet>
      <dgm:spPr/>
      <dgm:t>
        <a:bodyPr/>
        <a:lstStyle/>
        <a:p>
          <a:endParaRPr lang="fr-FR"/>
        </a:p>
      </dgm:t>
    </dgm:pt>
    <dgm:pt modelId="{42BD3330-44B4-4CF3-BE38-5FEE87625B1C}" type="pres">
      <dgm:prSet presAssocID="{94A0ED4A-657D-4BCA-8710-E7F0D1716962}" presName="hierFlow" presStyleCnt="0"/>
      <dgm:spPr/>
    </dgm:pt>
    <dgm:pt modelId="{9D32BF8A-0B9F-4BB1-AA92-310C839A9F34}" type="pres">
      <dgm:prSet presAssocID="{94A0ED4A-657D-4BCA-8710-E7F0D1716962}" presName="hierChild1" presStyleCnt="0">
        <dgm:presLayoutVars>
          <dgm:chPref val="1"/>
          <dgm:animOne val="branch"/>
          <dgm:animLvl val="lvl"/>
        </dgm:presLayoutVars>
      </dgm:prSet>
      <dgm:spPr/>
    </dgm:pt>
    <dgm:pt modelId="{4867DF37-D90D-4A55-8D0E-CE6E4C0C8E19}" type="pres">
      <dgm:prSet presAssocID="{BFC974C1-EAC0-4E12-A2F6-A6C1D0305617}" presName="Name14" presStyleCnt="0"/>
      <dgm:spPr/>
    </dgm:pt>
    <dgm:pt modelId="{F6C0026E-D7B6-4A4C-8A07-536E540DC7BE}" type="pres">
      <dgm:prSet presAssocID="{BFC974C1-EAC0-4E12-A2F6-A6C1D0305617}" presName="level1Shape" presStyleLbl="node0" presStyleIdx="0" presStyleCnt="1">
        <dgm:presLayoutVars>
          <dgm:chPref val="3"/>
        </dgm:presLayoutVars>
      </dgm:prSet>
      <dgm:spPr/>
      <dgm:t>
        <a:bodyPr/>
        <a:lstStyle/>
        <a:p>
          <a:endParaRPr lang="fr-FR"/>
        </a:p>
      </dgm:t>
    </dgm:pt>
    <dgm:pt modelId="{DDF412B0-9FA1-4E86-994F-5E085EF5D9FF}" type="pres">
      <dgm:prSet presAssocID="{BFC974C1-EAC0-4E12-A2F6-A6C1D0305617}" presName="hierChild2" presStyleCnt="0"/>
      <dgm:spPr/>
    </dgm:pt>
    <dgm:pt modelId="{778AAF0A-6E1B-42CC-ACDD-975AB40ACE9B}" type="pres">
      <dgm:prSet presAssocID="{243EE8B6-2554-4756-8CF5-DD305C99A959}" presName="Name19" presStyleLbl="parChTrans1D2" presStyleIdx="0" presStyleCnt="2"/>
      <dgm:spPr/>
      <dgm:t>
        <a:bodyPr/>
        <a:lstStyle/>
        <a:p>
          <a:endParaRPr lang="fr-FR"/>
        </a:p>
      </dgm:t>
    </dgm:pt>
    <dgm:pt modelId="{FF6D5645-9301-4F3B-816A-7FC137497491}" type="pres">
      <dgm:prSet presAssocID="{44D217B2-9FA2-477B-A8A8-E200AE5F0F41}" presName="Name21" presStyleCnt="0"/>
      <dgm:spPr/>
    </dgm:pt>
    <dgm:pt modelId="{CC2B6B36-7274-4ABD-84E7-83293D472B02}" type="pres">
      <dgm:prSet presAssocID="{44D217B2-9FA2-477B-A8A8-E200AE5F0F41}" presName="level2Shape" presStyleLbl="node2" presStyleIdx="0" presStyleCnt="2"/>
      <dgm:spPr/>
      <dgm:t>
        <a:bodyPr/>
        <a:lstStyle/>
        <a:p>
          <a:endParaRPr lang="fr-FR"/>
        </a:p>
      </dgm:t>
    </dgm:pt>
    <dgm:pt modelId="{F3AC2A8C-496D-49B6-81F9-B65C999EE067}" type="pres">
      <dgm:prSet presAssocID="{44D217B2-9FA2-477B-A8A8-E200AE5F0F41}" presName="hierChild3" presStyleCnt="0"/>
      <dgm:spPr/>
    </dgm:pt>
    <dgm:pt modelId="{AAA69E35-EC03-4712-8311-FDD52BB00F6E}" type="pres">
      <dgm:prSet presAssocID="{82162309-0713-40E7-BFEF-B208F1658F6D}" presName="Name19" presStyleLbl="parChTrans1D3" presStyleIdx="0" presStyleCnt="4"/>
      <dgm:spPr/>
      <dgm:t>
        <a:bodyPr/>
        <a:lstStyle/>
        <a:p>
          <a:endParaRPr lang="fr-FR"/>
        </a:p>
      </dgm:t>
    </dgm:pt>
    <dgm:pt modelId="{CE39EF5C-A073-4845-82FF-7462EA11218D}" type="pres">
      <dgm:prSet presAssocID="{5443EF6C-A9C5-4FA5-BA26-3892D5BB51C3}" presName="Name21" presStyleCnt="0"/>
      <dgm:spPr/>
    </dgm:pt>
    <dgm:pt modelId="{31934D9B-CFC6-4C04-93ED-E3B1C4F9679B}" type="pres">
      <dgm:prSet presAssocID="{5443EF6C-A9C5-4FA5-BA26-3892D5BB51C3}" presName="level2Shape" presStyleLbl="node3" presStyleIdx="0" presStyleCnt="4"/>
      <dgm:spPr/>
      <dgm:t>
        <a:bodyPr/>
        <a:lstStyle/>
        <a:p>
          <a:endParaRPr lang="fr-FR"/>
        </a:p>
      </dgm:t>
    </dgm:pt>
    <dgm:pt modelId="{05238ED8-155B-460A-AEEF-E5712C10209F}" type="pres">
      <dgm:prSet presAssocID="{5443EF6C-A9C5-4FA5-BA26-3892D5BB51C3}" presName="hierChild3" presStyleCnt="0"/>
      <dgm:spPr/>
    </dgm:pt>
    <dgm:pt modelId="{37116389-56D7-49AA-BC30-09F485ED0BCD}" type="pres">
      <dgm:prSet presAssocID="{27D86D8D-643A-4A28-8CF9-91091BE9F2B7}" presName="Name19" presStyleLbl="parChTrans1D3" presStyleIdx="1" presStyleCnt="4"/>
      <dgm:spPr/>
      <dgm:t>
        <a:bodyPr/>
        <a:lstStyle/>
        <a:p>
          <a:endParaRPr lang="fr-FR"/>
        </a:p>
      </dgm:t>
    </dgm:pt>
    <dgm:pt modelId="{A513ACCD-4712-4D31-AF82-FB21925F44A1}" type="pres">
      <dgm:prSet presAssocID="{9BB75B43-AF48-4E12-AD87-FBF077A5B5F8}" presName="Name21" presStyleCnt="0"/>
      <dgm:spPr/>
    </dgm:pt>
    <dgm:pt modelId="{C03D7028-D30C-403A-ACE1-A7482C5F5481}" type="pres">
      <dgm:prSet presAssocID="{9BB75B43-AF48-4E12-AD87-FBF077A5B5F8}" presName="level2Shape" presStyleLbl="node3" presStyleIdx="1" presStyleCnt="4"/>
      <dgm:spPr/>
      <dgm:t>
        <a:bodyPr/>
        <a:lstStyle/>
        <a:p>
          <a:endParaRPr lang="fr-FR"/>
        </a:p>
      </dgm:t>
    </dgm:pt>
    <dgm:pt modelId="{4F6C564C-654F-4450-9B98-AC8C4F56E6E3}" type="pres">
      <dgm:prSet presAssocID="{9BB75B43-AF48-4E12-AD87-FBF077A5B5F8}" presName="hierChild3" presStyleCnt="0"/>
      <dgm:spPr/>
    </dgm:pt>
    <dgm:pt modelId="{388DF4D6-3D77-4189-9751-8F697A816E5D}" type="pres">
      <dgm:prSet presAssocID="{1D028028-0A87-40EB-BBBC-750B41C0EA3E}" presName="Name19" presStyleLbl="parChTrans1D2" presStyleIdx="1" presStyleCnt="2"/>
      <dgm:spPr/>
      <dgm:t>
        <a:bodyPr/>
        <a:lstStyle/>
        <a:p>
          <a:endParaRPr lang="fr-FR"/>
        </a:p>
      </dgm:t>
    </dgm:pt>
    <dgm:pt modelId="{1881AC01-D0B4-4A08-BEFD-563FCDCF1BD6}" type="pres">
      <dgm:prSet presAssocID="{3F186B70-3282-4DC2-8210-EE20F6B849A1}" presName="Name21" presStyleCnt="0"/>
      <dgm:spPr/>
    </dgm:pt>
    <dgm:pt modelId="{670FABBD-C4D0-49C9-9D09-C12E0CB7198C}" type="pres">
      <dgm:prSet presAssocID="{3F186B70-3282-4DC2-8210-EE20F6B849A1}" presName="level2Shape" presStyleLbl="node2" presStyleIdx="1" presStyleCnt="2"/>
      <dgm:spPr/>
      <dgm:t>
        <a:bodyPr/>
        <a:lstStyle/>
        <a:p>
          <a:endParaRPr lang="fr-FR"/>
        </a:p>
      </dgm:t>
    </dgm:pt>
    <dgm:pt modelId="{E2CFFDF0-A21F-4DB4-98D7-908758236930}" type="pres">
      <dgm:prSet presAssocID="{3F186B70-3282-4DC2-8210-EE20F6B849A1}" presName="hierChild3" presStyleCnt="0"/>
      <dgm:spPr/>
    </dgm:pt>
    <dgm:pt modelId="{C789FD82-1EE2-4832-A103-486688FBF6F8}" type="pres">
      <dgm:prSet presAssocID="{4A767830-844B-42C7-A5EE-3261720B7AF6}" presName="Name19" presStyleLbl="parChTrans1D3" presStyleIdx="2" presStyleCnt="4"/>
      <dgm:spPr/>
      <dgm:t>
        <a:bodyPr/>
        <a:lstStyle/>
        <a:p>
          <a:endParaRPr lang="fr-FR"/>
        </a:p>
      </dgm:t>
    </dgm:pt>
    <dgm:pt modelId="{475195E5-AA4B-4A09-A156-ADDEE05B7662}" type="pres">
      <dgm:prSet presAssocID="{A0F485E0-78F0-40F9-ACA9-69A4BBA9BD87}" presName="Name21" presStyleCnt="0"/>
      <dgm:spPr/>
    </dgm:pt>
    <dgm:pt modelId="{16635B0E-62FB-43AA-A6F0-E32B3972CD33}" type="pres">
      <dgm:prSet presAssocID="{A0F485E0-78F0-40F9-ACA9-69A4BBA9BD87}" presName="level2Shape" presStyleLbl="node3" presStyleIdx="2" presStyleCnt="4"/>
      <dgm:spPr/>
      <dgm:t>
        <a:bodyPr/>
        <a:lstStyle/>
        <a:p>
          <a:endParaRPr lang="fr-FR"/>
        </a:p>
      </dgm:t>
    </dgm:pt>
    <dgm:pt modelId="{77B59E00-43A8-4530-8979-EDEA47B174E7}" type="pres">
      <dgm:prSet presAssocID="{A0F485E0-78F0-40F9-ACA9-69A4BBA9BD87}" presName="hierChild3" presStyleCnt="0"/>
      <dgm:spPr/>
    </dgm:pt>
    <dgm:pt modelId="{E668C63E-055F-4061-8591-180C26F1B2E4}" type="pres">
      <dgm:prSet presAssocID="{1BD68EB6-196E-4774-9A4A-EB594D9F286C}" presName="Name19" presStyleLbl="parChTrans1D3" presStyleIdx="3" presStyleCnt="4"/>
      <dgm:spPr/>
      <dgm:t>
        <a:bodyPr/>
        <a:lstStyle/>
        <a:p>
          <a:endParaRPr lang="fr-FR"/>
        </a:p>
      </dgm:t>
    </dgm:pt>
    <dgm:pt modelId="{A997F03F-7364-4AF5-9670-1A6708BDA183}" type="pres">
      <dgm:prSet presAssocID="{AFC042F3-89DC-41A5-9963-9EB9C85BC53A}" presName="Name21" presStyleCnt="0"/>
      <dgm:spPr/>
    </dgm:pt>
    <dgm:pt modelId="{310DDC1D-D1AD-4BB5-8E15-5D0AA3FABB10}" type="pres">
      <dgm:prSet presAssocID="{AFC042F3-89DC-41A5-9963-9EB9C85BC53A}" presName="level2Shape" presStyleLbl="node3" presStyleIdx="3" presStyleCnt="4"/>
      <dgm:spPr/>
      <dgm:t>
        <a:bodyPr/>
        <a:lstStyle/>
        <a:p>
          <a:endParaRPr lang="fr-FR"/>
        </a:p>
      </dgm:t>
    </dgm:pt>
    <dgm:pt modelId="{D757DD11-86F3-4AF4-AE1F-4E800E68F8CA}" type="pres">
      <dgm:prSet presAssocID="{AFC042F3-89DC-41A5-9963-9EB9C85BC53A}" presName="hierChild3" presStyleCnt="0"/>
      <dgm:spPr/>
    </dgm:pt>
    <dgm:pt modelId="{F8D9E6CA-C83D-4ABA-A705-3FD5719D8D7A}" type="pres">
      <dgm:prSet presAssocID="{94A0ED4A-657D-4BCA-8710-E7F0D1716962}" presName="bgShapesFlow" presStyleCnt="0"/>
      <dgm:spPr/>
    </dgm:pt>
  </dgm:ptLst>
  <dgm:cxnLst>
    <dgm:cxn modelId="{074F519D-A35E-43A7-973B-44FE1D6996CE}" type="presOf" srcId="{1D028028-0A87-40EB-BBBC-750B41C0EA3E}" destId="{388DF4D6-3D77-4189-9751-8F697A816E5D}" srcOrd="0" destOrd="0" presId="urn:microsoft.com/office/officeart/2005/8/layout/hierarchy6"/>
    <dgm:cxn modelId="{4A924F22-B6E1-4EB0-A4D1-25E7ABDABB0D}" srcId="{BFC974C1-EAC0-4E12-A2F6-A6C1D0305617}" destId="{44D217B2-9FA2-477B-A8A8-E200AE5F0F41}" srcOrd="0" destOrd="0" parTransId="{243EE8B6-2554-4756-8CF5-DD305C99A959}" sibTransId="{1419E40A-7654-4936-8518-778D23C21948}"/>
    <dgm:cxn modelId="{D6ECE2C6-9FAE-42F8-8BF2-666883BE752F}" type="presOf" srcId="{1BD68EB6-196E-4774-9A4A-EB594D9F286C}" destId="{E668C63E-055F-4061-8591-180C26F1B2E4}" srcOrd="0" destOrd="0" presId="urn:microsoft.com/office/officeart/2005/8/layout/hierarchy6"/>
    <dgm:cxn modelId="{FE81635B-9A8D-4A13-AD4D-D1B732E55EE0}" type="presOf" srcId="{27D86D8D-643A-4A28-8CF9-91091BE9F2B7}" destId="{37116389-56D7-49AA-BC30-09F485ED0BCD}" srcOrd="0" destOrd="0" presId="urn:microsoft.com/office/officeart/2005/8/layout/hierarchy6"/>
    <dgm:cxn modelId="{707EB45C-30B4-4DE6-A19C-D4A76D49037E}" type="presOf" srcId="{AFC042F3-89DC-41A5-9963-9EB9C85BC53A}" destId="{310DDC1D-D1AD-4BB5-8E15-5D0AA3FABB10}" srcOrd="0" destOrd="0" presId="urn:microsoft.com/office/officeart/2005/8/layout/hierarchy6"/>
    <dgm:cxn modelId="{DC4F5297-AE8C-4906-8086-130C1F53310F}" srcId="{3F186B70-3282-4DC2-8210-EE20F6B849A1}" destId="{A0F485E0-78F0-40F9-ACA9-69A4BBA9BD87}" srcOrd="0" destOrd="0" parTransId="{4A767830-844B-42C7-A5EE-3261720B7AF6}" sibTransId="{E27C4A7B-555C-4BD7-9805-C03F132567CA}"/>
    <dgm:cxn modelId="{6BCABBD6-EBD6-4928-9184-6561441F80D0}" type="presOf" srcId="{44D217B2-9FA2-477B-A8A8-E200AE5F0F41}" destId="{CC2B6B36-7274-4ABD-84E7-83293D472B02}" srcOrd="0" destOrd="0" presId="urn:microsoft.com/office/officeart/2005/8/layout/hierarchy6"/>
    <dgm:cxn modelId="{F49D1155-F009-4452-A96E-2BBDD074A163}" srcId="{3F186B70-3282-4DC2-8210-EE20F6B849A1}" destId="{AFC042F3-89DC-41A5-9963-9EB9C85BC53A}" srcOrd="1" destOrd="0" parTransId="{1BD68EB6-196E-4774-9A4A-EB594D9F286C}" sibTransId="{B08DC0EB-3477-4D43-8757-2F5C9CC7A8DB}"/>
    <dgm:cxn modelId="{F4A0B63E-2D28-4DC9-B39B-2E2E213A97E7}" type="presOf" srcId="{4A767830-844B-42C7-A5EE-3261720B7AF6}" destId="{C789FD82-1EE2-4832-A103-486688FBF6F8}" srcOrd="0" destOrd="0" presId="urn:microsoft.com/office/officeart/2005/8/layout/hierarchy6"/>
    <dgm:cxn modelId="{AA8124E8-0480-4B19-8A37-E262A8851E95}" srcId="{94A0ED4A-657D-4BCA-8710-E7F0D1716962}" destId="{BFC974C1-EAC0-4E12-A2F6-A6C1D0305617}" srcOrd="0" destOrd="0" parTransId="{A9ED1D92-CAF2-45F2-B9DA-20629E9B0C86}" sibTransId="{624C9B4D-5D29-4FB8-9715-EE11E02A5607}"/>
    <dgm:cxn modelId="{DCC16E02-68BC-4833-8FFC-95C3B91B2D38}" type="presOf" srcId="{243EE8B6-2554-4756-8CF5-DD305C99A959}" destId="{778AAF0A-6E1B-42CC-ACDD-975AB40ACE9B}" srcOrd="0" destOrd="0" presId="urn:microsoft.com/office/officeart/2005/8/layout/hierarchy6"/>
    <dgm:cxn modelId="{4AD42BF7-E0CE-409E-9FBA-ECE788765248}" type="presOf" srcId="{94A0ED4A-657D-4BCA-8710-E7F0D1716962}" destId="{01B3989D-2429-4D2E-8584-7E48187F73CB}" srcOrd="0" destOrd="0" presId="urn:microsoft.com/office/officeart/2005/8/layout/hierarchy6"/>
    <dgm:cxn modelId="{B0D0C65C-51E1-4404-9420-52A009C3AB0F}" type="presOf" srcId="{BFC974C1-EAC0-4E12-A2F6-A6C1D0305617}" destId="{F6C0026E-D7B6-4A4C-8A07-536E540DC7BE}" srcOrd="0" destOrd="0" presId="urn:microsoft.com/office/officeart/2005/8/layout/hierarchy6"/>
    <dgm:cxn modelId="{3C370E42-7B2D-479C-BA00-AC369371F22D}" srcId="{44D217B2-9FA2-477B-A8A8-E200AE5F0F41}" destId="{9BB75B43-AF48-4E12-AD87-FBF077A5B5F8}" srcOrd="1" destOrd="0" parTransId="{27D86D8D-643A-4A28-8CF9-91091BE9F2B7}" sibTransId="{70C891E3-0FA8-4945-BA05-F6254B30735C}"/>
    <dgm:cxn modelId="{2A1EA82F-E0B5-497B-A851-971B2BBB38E5}" type="presOf" srcId="{5443EF6C-A9C5-4FA5-BA26-3892D5BB51C3}" destId="{31934D9B-CFC6-4C04-93ED-E3B1C4F9679B}" srcOrd="0" destOrd="0" presId="urn:microsoft.com/office/officeart/2005/8/layout/hierarchy6"/>
    <dgm:cxn modelId="{91E84E60-C030-4B58-8892-61BC476FFE84}" type="presOf" srcId="{A0F485E0-78F0-40F9-ACA9-69A4BBA9BD87}" destId="{16635B0E-62FB-43AA-A6F0-E32B3972CD33}" srcOrd="0" destOrd="0" presId="urn:microsoft.com/office/officeart/2005/8/layout/hierarchy6"/>
    <dgm:cxn modelId="{0678B8CA-12A6-4B64-8DD0-0C93583323F5}" srcId="{BFC974C1-EAC0-4E12-A2F6-A6C1D0305617}" destId="{3F186B70-3282-4DC2-8210-EE20F6B849A1}" srcOrd="1" destOrd="0" parTransId="{1D028028-0A87-40EB-BBBC-750B41C0EA3E}" sibTransId="{12D7C513-0BB9-4962-8554-F5CB08F8A525}"/>
    <dgm:cxn modelId="{91F40527-EA7D-432D-AA93-29219915863E}" srcId="{44D217B2-9FA2-477B-A8A8-E200AE5F0F41}" destId="{5443EF6C-A9C5-4FA5-BA26-3892D5BB51C3}" srcOrd="0" destOrd="0" parTransId="{82162309-0713-40E7-BFEF-B208F1658F6D}" sibTransId="{A0A80D94-ED04-4F72-AF6E-F14B2276E388}"/>
    <dgm:cxn modelId="{AA40048F-AFFE-42B6-AF3A-0BA6AA9226C3}" type="presOf" srcId="{82162309-0713-40E7-BFEF-B208F1658F6D}" destId="{AAA69E35-EC03-4712-8311-FDD52BB00F6E}" srcOrd="0" destOrd="0" presId="urn:microsoft.com/office/officeart/2005/8/layout/hierarchy6"/>
    <dgm:cxn modelId="{D8FCFAD0-A754-4DD5-9410-71BA958BD322}" type="presOf" srcId="{9BB75B43-AF48-4E12-AD87-FBF077A5B5F8}" destId="{C03D7028-D30C-403A-ACE1-A7482C5F5481}" srcOrd="0" destOrd="0" presId="urn:microsoft.com/office/officeart/2005/8/layout/hierarchy6"/>
    <dgm:cxn modelId="{7BABAAB6-C8A1-44DA-9267-94E4021E500D}" type="presOf" srcId="{3F186B70-3282-4DC2-8210-EE20F6B849A1}" destId="{670FABBD-C4D0-49C9-9D09-C12E0CB7198C}" srcOrd="0" destOrd="0" presId="urn:microsoft.com/office/officeart/2005/8/layout/hierarchy6"/>
    <dgm:cxn modelId="{2AD2C191-FB04-4D12-B688-4002D64F73ED}" type="presParOf" srcId="{01B3989D-2429-4D2E-8584-7E48187F73CB}" destId="{42BD3330-44B4-4CF3-BE38-5FEE87625B1C}" srcOrd="0" destOrd="0" presId="urn:microsoft.com/office/officeart/2005/8/layout/hierarchy6"/>
    <dgm:cxn modelId="{95B7A66A-B1FA-4556-9847-DAD96EA37EA1}" type="presParOf" srcId="{42BD3330-44B4-4CF3-BE38-5FEE87625B1C}" destId="{9D32BF8A-0B9F-4BB1-AA92-310C839A9F34}" srcOrd="0" destOrd="0" presId="urn:microsoft.com/office/officeart/2005/8/layout/hierarchy6"/>
    <dgm:cxn modelId="{C3327375-19A8-41D9-BAD9-28C041E61383}" type="presParOf" srcId="{9D32BF8A-0B9F-4BB1-AA92-310C839A9F34}" destId="{4867DF37-D90D-4A55-8D0E-CE6E4C0C8E19}" srcOrd="0" destOrd="0" presId="urn:microsoft.com/office/officeart/2005/8/layout/hierarchy6"/>
    <dgm:cxn modelId="{E5A6BA43-AB36-411D-95D5-B522862FF024}" type="presParOf" srcId="{4867DF37-D90D-4A55-8D0E-CE6E4C0C8E19}" destId="{F6C0026E-D7B6-4A4C-8A07-536E540DC7BE}" srcOrd="0" destOrd="0" presId="urn:microsoft.com/office/officeart/2005/8/layout/hierarchy6"/>
    <dgm:cxn modelId="{11248A33-F2F3-4980-8573-721A71C18E6D}" type="presParOf" srcId="{4867DF37-D90D-4A55-8D0E-CE6E4C0C8E19}" destId="{DDF412B0-9FA1-4E86-994F-5E085EF5D9FF}" srcOrd="1" destOrd="0" presId="urn:microsoft.com/office/officeart/2005/8/layout/hierarchy6"/>
    <dgm:cxn modelId="{29E5ABB1-D97F-428D-AD48-974DA81ED3A0}" type="presParOf" srcId="{DDF412B0-9FA1-4E86-994F-5E085EF5D9FF}" destId="{778AAF0A-6E1B-42CC-ACDD-975AB40ACE9B}" srcOrd="0" destOrd="0" presId="urn:microsoft.com/office/officeart/2005/8/layout/hierarchy6"/>
    <dgm:cxn modelId="{D538A5A4-0F65-40D7-94B1-D213EE0632C9}" type="presParOf" srcId="{DDF412B0-9FA1-4E86-994F-5E085EF5D9FF}" destId="{FF6D5645-9301-4F3B-816A-7FC137497491}" srcOrd="1" destOrd="0" presId="urn:microsoft.com/office/officeart/2005/8/layout/hierarchy6"/>
    <dgm:cxn modelId="{26B876BF-A1C6-4082-979E-60C097B3B3C7}" type="presParOf" srcId="{FF6D5645-9301-4F3B-816A-7FC137497491}" destId="{CC2B6B36-7274-4ABD-84E7-83293D472B02}" srcOrd="0" destOrd="0" presId="urn:microsoft.com/office/officeart/2005/8/layout/hierarchy6"/>
    <dgm:cxn modelId="{9F542D05-5178-4C18-8BF3-530D0708E22F}" type="presParOf" srcId="{FF6D5645-9301-4F3B-816A-7FC137497491}" destId="{F3AC2A8C-496D-49B6-81F9-B65C999EE067}" srcOrd="1" destOrd="0" presId="urn:microsoft.com/office/officeart/2005/8/layout/hierarchy6"/>
    <dgm:cxn modelId="{B0F8BE33-0DA5-45DE-9DF3-6C9F39485C52}" type="presParOf" srcId="{F3AC2A8C-496D-49B6-81F9-B65C999EE067}" destId="{AAA69E35-EC03-4712-8311-FDD52BB00F6E}" srcOrd="0" destOrd="0" presId="urn:microsoft.com/office/officeart/2005/8/layout/hierarchy6"/>
    <dgm:cxn modelId="{9E54E951-B929-4C6F-9F0B-09A1A2131FE2}" type="presParOf" srcId="{F3AC2A8C-496D-49B6-81F9-B65C999EE067}" destId="{CE39EF5C-A073-4845-82FF-7462EA11218D}" srcOrd="1" destOrd="0" presId="urn:microsoft.com/office/officeart/2005/8/layout/hierarchy6"/>
    <dgm:cxn modelId="{406B676C-21B3-4BD5-B0C1-077AAAF32BC3}" type="presParOf" srcId="{CE39EF5C-A073-4845-82FF-7462EA11218D}" destId="{31934D9B-CFC6-4C04-93ED-E3B1C4F9679B}" srcOrd="0" destOrd="0" presId="urn:microsoft.com/office/officeart/2005/8/layout/hierarchy6"/>
    <dgm:cxn modelId="{F57EC783-A25C-445F-A17C-56D9CC8B651A}" type="presParOf" srcId="{CE39EF5C-A073-4845-82FF-7462EA11218D}" destId="{05238ED8-155B-460A-AEEF-E5712C10209F}" srcOrd="1" destOrd="0" presId="urn:microsoft.com/office/officeart/2005/8/layout/hierarchy6"/>
    <dgm:cxn modelId="{B6F3FE22-9818-42D0-A6CD-511A5909D475}" type="presParOf" srcId="{F3AC2A8C-496D-49B6-81F9-B65C999EE067}" destId="{37116389-56D7-49AA-BC30-09F485ED0BCD}" srcOrd="2" destOrd="0" presId="urn:microsoft.com/office/officeart/2005/8/layout/hierarchy6"/>
    <dgm:cxn modelId="{B882625E-227E-451C-9FEA-3953010EBE92}" type="presParOf" srcId="{F3AC2A8C-496D-49B6-81F9-B65C999EE067}" destId="{A513ACCD-4712-4D31-AF82-FB21925F44A1}" srcOrd="3" destOrd="0" presId="urn:microsoft.com/office/officeart/2005/8/layout/hierarchy6"/>
    <dgm:cxn modelId="{77C635E1-BDD5-44B4-850C-4DAD2CC869C7}" type="presParOf" srcId="{A513ACCD-4712-4D31-AF82-FB21925F44A1}" destId="{C03D7028-D30C-403A-ACE1-A7482C5F5481}" srcOrd="0" destOrd="0" presId="urn:microsoft.com/office/officeart/2005/8/layout/hierarchy6"/>
    <dgm:cxn modelId="{9EA1FEAD-2EC8-4287-997D-AAC343A35E83}" type="presParOf" srcId="{A513ACCD-4712-4D31-AF82-FB21925F44A1}" destId="{4F6C564C-654F-4450-9B98-AC8C4F56E6E3}" srcOrd="1" destOrd="0" presId="urn:microsoft.com/office/officeart/2005/8/layout/hierarchy6"/>
    <dgm:cxn modelId="{651204B3-1E69-4589-BF67-B2EC90E9C9AE}" type="presParOf" srcId="{DDF412B0-9FA1-4E86-994F-5E085EF5D9FF}" destId="{388DF4D6-3D77-4189-9751-8F697A816E5D}" srcOrd="2" destOrd="0" presId="urn:microsoft.com/office/officeart/2005/8/layout/hierarchy6"/>
    <dgm:cxn modelId="{BED24952-B361-4AF9-A13F-846E60BAB2D2}" type="presParOf" srcId="{DDF412B0-9FA1-4E86-994F-5E085EF5D9FF}" destId="{1881AC01-D0B4-4A08-BEFD-563FCDCF1BD6}" srcOrd="3" destOrd="0" presId="urn:microsoft.com/office/officeart/2005/8/layout/hierarchy6"/>
    <dgm:cxn modelId="{9DBDDE07-DB43-4564-9A6A-5628D22FB29F}" type="presParOf" srcId="{1881AC01-D0B4-4A08-BEFD-563FCDCF1BD6}" destId="{670FABBD-C4D0-49C9-9D09-C12E0CB7198C}" srcOrd="0" destOrd="0" presId="urn:microsoft.com/office/officeart/2005/8/layout/hierarchy6"/>
    <dgm:cxn modelId="{E9CE4AB1-1980-4FC1-9413-7A0BCE4D9C40}" type="presParOf" srcId="{1881AC01-D0B4-4A08-BEFD-563FCDCF1BD6}" destId="{E2CFFDF0-A21F-4DB4-98D7-908758236930}" srcOrd="1" destOrd="0" presId="urn:microsoft.com/office/officeart/2005/8/layout/hierarchy6"/>
    <dgm:cxn modelId="{A97FC32C-9D49-49CF-960B-4FF0816DD344}" type="presParOf" srcId="{E2CFFDF0-A21F-4DB4-98D7-908758236930}" destId="{C789FD82-1EE2-4832-A103-486688FBF6F8}" srcOrd="0" destOrd="0" presId="urn:microsoft.com/office/officeart/2005/8/layout/hierarchy6"/>
    <dgm:cxn modelId="{15806E06-4184-45CF-B937-BB22B9948537}" type="presParOf" srcId="{E2CFFDF0-A21F-4DB4-98D7-908758236930}" destId="{475195E5-AA4B-4A09-A156-ADDEE05B7662}" srcOrd="1" destOrd="0" presId="urn:microsoft.com/office/officeart/2005/8/layout/hierarchy6"/>
    <dgm:cxn modelId="{F829F1EB-EB78-435E-885A-0B6A1D558774}" type="presParOf" srcId="{475195E5-AA4B-4A09-A156-ADDEE05B7662}" destId="{16635B0E-62FB-43AA-A6F0-E32B3972CD33}" srcOrd="0" destOrd="0" presId="urn:microsoft.com/office/officeart/2005/8/layout/hierarchy6"/>
    <dgm:cxn modelId="{4A59E475-1AC1-4D73-A011-451F6EEF1BFA}" type="presParOf" srcId="{475195E5-AA4B-4A09-A156-ADDEE05B7662}" destId="{77B59E00-43A8-4530-8979-EDEA47B174E7}" srcOrd="1" destOrd="0" presId="urn:microsoft.com/office/officeart/2005/8/layout/hierarchy6"/>
    <dgm:cxn modelId="{679E590E-7B0A-4AA6-BC1F-C13221A16475}" type="presParOf" srcId="{E2CFFDF0-A21F-4DB4-98D7-908758236930}" destId="{E668C63E-055F-4061-8591-180C26F1B2E4}" srcOrd="2" destOrd="0" presId="urn:microsoft.com/office/officeart/2005/8/layout/hierarchy6"/>
    <dgm:cxn modelId="{669D55FD-346C-42A7-81DA-0971B4B5F8C6}" type="presParOf" srcId="{E2CFFDF0-A21F-4DB4-98D7-908758236930}" destId="{A997F03F-7364-4AF5-9670-1A6708BDA183}" srcOrd="3" destOrd="0" presId="urn:microsoft.com/office/officeart/2005/8/layout/hierarchy6"/>
    <dgm:cxn modelId="{22A7F033-559D-463A-8C0B-8CA8E6BEFCF7}" type="presParOf" srcId="{A997F03F-7364-4AF5-9670-1A6708BDA183}" destId="{310DDC1D-D1AD-4BB5-8E15-5D0AA3FABB10}" srcOrd="0" destOrd="0" presId="urn:microsoft.com/office/officeart/2005/8/layout/hierarchy6"/>
    <dgm:cxn modelId="{FE3FA93F-142B-435B-BF9F-B5311AFF0CEA}" type="presParOf" srcId="{A997F03F-7364-4AF5-9670-1A6708BDA183}" destId="{D757DD11-86F3-4AF4-AE1F-4E800E68F8CA}" srcOrd="1" destOrd="0" presId="urn:microsoft.com/office/officeart/2005/8/layout/hierarchy6"/>
    <dgm:cxn modelId="{BB8C6E50-495B-42B3-B476-C0F159CD4814}" type="presParOf" srcId="{01B3989D-2429-4D2E-8584-7E48187F73CB}" destId="{F8D9E6CA-C83D-4ABA-A705-3FD5719D8D7A}" srcOrd="1" destOrd="0" presId="urn:microsoft.com/office/officeart/2005/8/layout/hierarchy6"/>
  </dgm:cxnLst>
  <dgm:bg/>
  <dgm:whole/>
</dgm:dataModel>
</file>

<file path=word/diagrams/data2.xml><?xml version="1.0" encoding="utf-8"?>
<dgm:dataModel xmlns:dgm="http://schemas.openxmlformats.org/drawingml/2006/diagram" xmlns:a="http://schemas.openxmlformats.org/drawingml/2006/main">
  <dgm:ptLst>
    <dgm:pt modelId="{35CF3054-54BA-4FC9-A9BC-9C680D0B1A4D}"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BA718A5C-38F5-4DFB-ACAE-16697A263C38}">
      <dgm:prSet phldrT="[Texte]"/>
      <dgm:spPr/>
      <dgm:t>
        <a:bodyPr/>
        <a:lstStyle/>
        <a:p>
          <a:r>
            <a:rPr lang="fr-FR"/>
            <a:t>Produits encaissables  </a:t>
          </a:r>
        </a:p>
      </dgm:t>
    </dgm:pt>
    <dgm:pt modelId="{1B79F8BE-747B-4C42-8DCB-39DF6B8585B2}" type="parTrans" cxnId="{623321F4-C012-4203-9F02-AA79AAA29E74}">
      <dgm:prSet/>
      <dgm:spPr/>
      <dgm:t>
        <a:bodyPr/>
        <a:lstStyle/>
        <a:p>
          <a:endParaRPr lang="fr-FR"/>
        </a:p>
      </dgm:t>
    </dgm:pt>
    <dgm:pt modelId="{0EBAEFA1-6F3E-4915-B5FC-C1C30D876310}" type="sibTrans" cxnId="{623321F4-C012-4203-9F02-AA79AAA29E74}">
      <dgm:prSet/>
      <dgm:spPr/>
      <dgm:t>
        <a:bodyPr/>
        <a:lstStyle/>
        <a:p>
          <a:endParaRPr lang="fr-FR"/>
        </a:p>
      </dgm:t>
    </dgm:pt>
    <dgm:pt modelId="{35798C4D-5EAD-49A0-B118-1653922020BE}">
      <dgm:prSet phldrT="[Texte]"/>
      <dgm:spPr/>
      <dgm:t>
        <a:bodyPr/>
        <a:lstStyle/>
        <a:p>
          <a:r>
            <a:rPr lang="fr-FR"/>
            <a:t>Charges décaissables</a:t>
          </a:r>
        </a:p>
      </dgm:t>
    </dgm:pt>
    <dgm:pt modelId="{521B48E5-AA78-4910-8E2F-A4BA71381AB1}" type="parTrans" cxnId="{4C07397C-AB66-4B2F-8E1A-8DE8C8B389C8}">
      <dgm:prSet/>
      <dgm:spPr/>
      <dgm:t>
        <a:bodyPr/>
        <a:lstStyle/>
        <a:p>
          <a:endParaRPr lang="fr-FR"/>
        </a:p>
      </dgm:t>
    </dgm:pt>
    <dgm:pt modelId="{463A120A-5BFE-48B0-9F4C-0D269F225014}" type="sibTrans" cxnId="{4C07397C-AB66-4B2F-8E1A-8DE8C8B389C8}">
      <dgm:prSet/>
      <dgm:spPr/>
      <dgm:t>
        <a:bodyPr/>
        <a:lstStyle/>
        <a:p>
          <a:endParaRPr lang="fr-FR"/>
        </a:p>
      </dgm:t>
    </dgm:pt>
    <dgm:pt modelId="{5BAFCC85-0C68-4320-BB8F-208688689963}">
      <dgm:prSet phldrT="[Texte]"/>
      <dgm:spPr/>
      <dgm:t>
        <a:bodyPr/>
        <a:lstStyle/>
        <a:p>
          <a:r>
            <a:rPr lang="fr-FR"/>
            <a:t>CAF</a:t>
          </a:r>
        </a:p>
      </dgm:t>
    </dgm:pt>
    <dgm:pt modelId="{CBE6F5B2-980D-41D1-8320-D0B34FD1BFD3}" type="parTrans" cxnId="{A393CA62-2D5F-4143-B59B-105368D456B9}">
      <dgm:prSet/>
      <dgm:spPr/>
      <dgm:t>
        <a:bodyPr/>
        <a:lstStyle/>
        <a:p>
          <a:endParaRPr lang="fr-FR"/>
        </a:p>
      </dgm:t>
    </dgm:pt>
    <dgm:pt modelId="{738BB57B-0891-46AD-BF9F-74FCC84A29A2}" type="sibTrans" cxnId="{A393CA62-2D5F-4143-B59B-105368D456B9}">
      <dgm:prSet/>
      <dgm:spPr/>
      <dgm:t>
        <a:bodyPr/>
        <a:lstStyle/>
        <a:p>
          <a:endParaRPr lang="fr-FR"/>
        </a:p>
      </dgm:t>
    </dgm:pt>
    <dgm:pt modelId="{7FB13A46-770E-4AD1-A622-8543A98B3150}" type="pres">
      <dgm:prSet presAssocID="{35CF3054-54BA-4FC9-A9BC-9C680D0B1A4D}" presName="linearFlow" presStyleCnt="0">
        <dgm:presLayoutVars>
          <dgm:dir/>
          <dgm:resizeHandles val="exact"/>
        </dgm:presLayoutVars>
      </dgm:prSet>
      <dgm:spPr/>
    </dgm:pt>
    <dgm:pt modelId="{A5771278-37D7-4016-B03F-AE4FE5DDA729}" type="pres">
      <dgm:prSet presAssocID="{BA718A5C-38F5-4DFB-ACAE-16697A263C38}" presName="node" presStyleLbl="node1" presStyleIdx="0" presStyleCnt="3">
        <dgm:presLayoutVars>
          <dgm:bulletEnabled val="1"/>
        </dgm:presLayoutVars>
      </dgm:prSet>
      <dgm:spPr/>
      <dgm:t>
        <a:bodyPr/>
        <a:lstStyle/>
        <a:p>
          <a:endParaRPr lang="fr-FR"/>
        </a:p>
      </dgm:t>
    </dgm:pt>
    <dgm:pt modelId="{A52E4880-ED92-4A72-8E9F-FE7934BCB8E8}" type="pres">
      <dgm:prSet presAssocID="{0EBAEFA1-6F3E-4915-B5FC-C1C30D876310}" presName="spacerL" presStyleCnt="0"/>
      <dgm:spPr/>
    </dgm:pt>
    <dgm:pt modelId="{44DFC465-2321-48DF-9E51-6A37F252C2E1}" type="pres">
      <dgm:prSet presAssocID="{0EBAEFA1-6F3E-4915-B5FC-C1C30D876310}" presName="sibTrans" presStyleLbl="sibTrans2D1" presStyleIdx="0" presStyleCnt="2"/>
      <dgm:spPr>
        <a:prstGeom prst="mathMinus">
          <a:avLst/>
        </a:prstGeom>
      </dgm:spPr>
      <dgm:t>
        <a:bodyPr/>
        <a:lstStyle/>
        <a:p>
          <a:endParaRPr lang="fr-FR"/>
        </a:p>
      </dgm:t>
    </dgm:pt>
    <dgm:pt modelId="{88DFB034-23B6-40AE-8365-9B80AAA7A677}" type="pres">
      <dgm:prSet presAssocID="{0EBAEFA1-6F3E-4915-B5FC-C1C30D876310}" presName="spacerR" presStyleCnt="0"/>
      <dgm:spPr/>
    </dgm:pt>
    <dgm:pt modelId="{5B13088F-0EDA-4F04-AA84-D4452142E8AD}" type="pres">
      <dgm:prSet presAssocID="{35798C4D-5EAD-49A0-B118-1653922020BE}" presName="node" presStyleLbl="node1" presStyleIdx="1" presStyleCnt="3">
        <dgm:presLayoutVars>
          <dgm:bulletEnabled val="1"/>
        </dgm:presLayoutVars>
      </dgm:prSet>
      <dgm:spPr/>
      <dgm:t>
        <a:bodyPr/>
        <a:lstStyle/>
        <a:p>
          <a:endParaRPr lang="fr-FR"/>
        </a:p>
      </dgm:t>
    </dgm:pt>
    <dgm:pt modelId="{FEB9B90E-C5FF-4AA9-A8A7-3D5ADEA9C190}" type="pres">
      <dgm:prSet presAssocID="{463A120A-5BFE-48B0-9F4C-0D269F225014}" presName="spacerL" presStyleCnt="0"/>
      <dgm:spPr/>
    </dgm:pt>
    <dgm:pt modelId="{4B529597-1E9F-48AF-A72E-90132D3E6012}" type="pres">
      <dgm:prSet presAssocID="{463A120A-5BFE-48B0-9F4C-0D269F225014}" presName="sibTrans" presStyleLbl="sibTrans2D1" presStyleIdx="1" presStyleCnt="2"/>
      <dgm:spPr/>
      <dgm:t>
        <a:bodyPr/>
        <a:lstStyle/>
        <a:p>
          <a:endParaRPr lang="fr-FR"/>
        </a:p>
      </dgm:t>
    </dgm:pt>
    <dgm:pt modelId="{96746513-5376-4499-83B9-8DA8B355D6B8}" type="pres">
      <dgm:prSet presAssocID="{463A120A-5BFE-48B0-9F4C-0D269F225014}" presName="spacerR" presStyleCnt="0"/>
      <dgm:spPr/>
    </dgm:pt>
    <dgm:pt modelId="{389BE36D-BBB1-4762-BCDD-20AB1FBD29F8}" type="pres">
      <dgm:prSet presAssocID="{5BAFCC85-0C68-4320-BB8F-208688689963}" presName="node" presStyleLbl="node1" presStyleIdx="2" presStyleCnt="3">
        <dgm:presLayoutVars>
          <dgm:bulletEnabled val="1"/>
        </dgm:presLayoutVars>
      </dgm:prSet>
      <dgm:spPr/>
      <dgm:t>
        <a:bodyPr/>
        <a:lstStyle/>
        <a:p>
          <a:endParaRPr lang="fr-FR"/>
        </a:p>
      </dgm:t>
    </dgm:pt>
  </dgm:ptLst>
  <dgm:cxnLst>
    <dgm:cxn modelId="{ED9553B4-266F-42F0-8C44-4249835A4F58}" type="presOf" srcId="{5BAFCC85-0C68-4320-BB8F-208688689963}" destId="{389BE36D-BBB1-4762-BCDD-20AB1FBD29F8}" srcOrd="0" destOrd="0" presId="urn:microsoft.com/office/officeart/2005/8/layout/equation1"/>
    <dgm:cxn modelId="{23C3C3F4-CEF6-4AE3-8200-5F0ABC9174B1}" type="presOf" srcId="{35798C4D-5EAD-49A0-B118-1653922020BE}" destId="{5B13088F-0EDA-4F04-AA84-D4452142E8AD}" srcOrd="0" destOrd="0" presId="urn:microsoft.com/office/officeart/2005/8/layout/equation1"/>
    <dgm:cxn modelId="{A393CA62-2D5F-4143-B59B-105368D456B9}" srcId="{35CF3054-54BA-4FC9-A9BC-9C680D0B1A4D}" destId="{5BAFCC85-0C68-4320-BB8F-208688689963}" srcOrd="2" destOrd="0" parTransId="{CBE6F5B2-980D-41D1-8320-D0B34FD1BFD3}" sibTransId="{738BB57B-0891-46AD-BF9F-74FCC84A29A2}"/>
    <dgm:cxn modelId="{7D16DD3B-2F79-40D5-A2FA-EE997D3C32BF}" type="presOf" srcId="{35CF3054-54BA-4FC9-A9BC-9C680D0B1A4D}" destId="{7FB13A46-770E-4AD1-A622-8543A98B3150}" srcOrd="0" destOrd="0" presId="urn:microsoft.com/office/officeart/2005/8/layout/equation1"/>
    <dgm:cxn modelId="{4C07397C-AB66-4B2F-8E1A-8DE8C8B389C8}" srcId="{35CF3054-54BA-4FC9-A9BC-9C680D0B1A4D}" destId="{35798C4D-5EAD-49A0-B118-1653922020BE}" srcOrd="1" destOrd="0" parTransId="{521B48E5-AA78-4910-8E2F-A4BA71381AB1}" sibTransId="{463A120A-5BFE-48B0-9F4C-0D269F225014}"/>
    <dgm:cxn modelId="{12713AB6-0A99-47E6-82DE-1A3C6F5AD21C}" type="presOf" srcId="{0EBAEFA1-6F3E-4915-B5FC-C1C30D876310}" destId="{44DFC465-2321-48DF-9E51-6A37F252C2E1}" srcOrd="0" destOrd="0" presId="urn:microsoft.com/office/officeart/2005/8/layout/equation1"/>
    <dgm:cxn modelId="{B3E05099-8C51-4C70-9239-0EF36D19A5CB}" type="presOf" srcId="{BA718A5C-38F5-4DFB-ACAE-16697A263C38}" destId="{A5771278-37D7-4016-B03F-AE4FE5DDA729}" srcOrd="0" destOrd="0" presId="urn:microsoft.com/office/officeart/2005/8/layout/equation1"/>
    <dgm:cxn modelId="{623321F4-C012-4203-9F02-AA79AAA29E74}" srcId="{35CF3054-54BA-4FC9-A9BC-9C680D0B1A4D}" destId="{BA718A5C-38F5-4DFB-ACAE-16697A263C38}" srcOrd="0" destOrd="0" parTransId="{1B79F8BE-747B-4C42-8DCB-39DF6B8585B2}" sibTransId="{0EBAEFA1-6F3E-4915-B5FC-C1C30D876310}"/>
    <dgm:cxn modelId="{DF4DAF49-5001-4D1F-9256-08BCC00C5471}" type="presOf" srcId="{463A120A-5BFE-48B0-9F4C-0D269F225014}" destId="{4B529597-1E9F-48AF-A72E-90132D3E6012}" srcOrd="0" destOrd="0" presId="urn:microsoft.com/office/officeart/2005/8/layout/equation1"/>
    <dgm:cxn modelId="{32702DA9-BAB2-45A9-82D3-DA5499AFC779}" type="presParOf" srcId="{7FB13A46-770E-4AD1-A622-8543A98B3150}" destId="{A5771278-37D7-4016-B03F-AE4FE5DDA729}" srcOrd="0" destOrd="0" presId="urn:microsoft.com/office/officeart/2005/8/layout/equation1"/>
    <dgm:cxn modelId="{5AA67267-E7F6-4402-A6F9-C3987BD8A350}" type="presParOf" srcId="{7FB13A46-770E-4AD1-A622-8543A98B3150}" destId="{A52E4880-ED92-4A72-8E9F-FE7934BCB8E8}" srcOrd="1" destOrd="0" presId="urn:microsoft.com/office/officeart/2005/8/layout/equation1"/>
    <dgm:cxn modelId="{B711351C-CBCF-4825-8454-91407AB250AD}" type="presParOf" srcId="{7FB13A46-770E-4AD1-A622-8543A98B3150}" destId="{44DFC465-2321-48DF-9E51-6A37F252C2E1}" srcOrd="2" destOrd="0" presId="urn:microsoft.com/office/officeart/2005/8/layout/equation1"/>
    <dgm:cxn modelId="{B8CC37CF-BE5A-4FCE-AFE8-BEA91CE97313}" type="presParOf" srcId="{7FB13A46-770E-4AD1-A622-8543A98B3150}" destId="{88DFB034-23B6-40AE-8365-9B80AAA7A677}" srcOrd="3" destOrd="0" presId="urn:microsoft.com/office/officeart/2005/8/layout/equation1"/>
    <dgm:cxn modelId="{DF97B685-1165-4041-8507-94B3349A0741}" type="presParOf" srcId="{7FB13A46-770E-4AD1-A622-8543A98B3150}" destId="{5B13088F-0EDA-4F04-AA84-D4452142E8AD}" srcOrd="4" destOrd="0" presId="urn:microsoft.com/office/officeart/2005/8/layout/equation1"/>
    <dgm:cxn modelId="{1187DB4C-C594-4877-93CE-EA28BA59223F}" type="presParOf" srcId="{7FB13A46-770E-4AD1-A622-8543A98B3150}" destId="{FEB9B90E-C5FF-4AA9-A8A7-3D5ADEA9C190}" srcOrd="5" destOrd="0" presId="urn:microsoft.com/office/officeart/2005/8/layout/equation1"/>
    <dgm:cxn modelId="{BF8E6BA4-ADA8-42A4-8117-C5B91C5A487A}" type="presParOf" srcId="{7FB13A46-770E-4AD1-A622-8543A98B3150}" destId="{4B529597-1E9F-48AF-A72E-90132D3E6012}" srcOrd="6" destOrd="0" presId="urn:microsoft.com/office/officeart/2005/8/layout/equation1"/>
    <dgm:cxn modelId="{CEA8892D-DB7D-4C73-A575-6B14B600099A}" type="presParOf" srcId="{7FB13A46-770E-4AD1-A622-8543A98B3150}" destId="{96746513-5376-4499-83B9-8DA8B355D6B8}" srcOrd="7" destOrd="0" presId="urn:microsoft.com/office/officeart/2005/8/layout/equation1"/>
    <dgm:cxn modelId="{8F3C59E4-A2D9-4013-9D84-059E6165E6C2}" type="presParOf" srcId="{7FB13A46-770E-4AD1-A622-8543A98B3150}" destId="{389BE36D-BBB1-4762-BCDD-20AB1FBD29F8}" srcOrd="8" destOrd="0" presId="urn:microsoft.com/office/officeart/2005/8/layout/equation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Civil">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5B6F8-701E-4B2C-8E08-27F846A8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5633</TotalTime>
  <Pages>1</Pages>
  <Words>1646</Words>
  <Characters>9058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Machaux</dc:creator>
  <cp:keywords/>
  <dc:description/>
  <cp:lastModifiedBy>Machaux</cp:lastModifiedBy>
  <cp:revision>10</cp:revision>
  <cp:lastPrinted>2008-05-11T12:18:00Z</cp:lastPrinted>
  <dcterms:created xsi:type="dcterms:W3CDTF">2008-03-23T17:35:00Z</dcterms:created>
  <dcterms:modified xsi:type="dcterms:W3CDTF">2008-05-12T15:59:00Z</dcterms:modified>
</cp:coreProperties>
</file>