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7" w:rsidRPr="00C841B8" w:rsidRDefault="00655C17" w:rsidP="00655C17">
      <w:pPr>
        <w:pStyle w:val="Sansinterligne"/>
        <w:jc w:val="center"/>
        <w:rPr>
          <w:rFonts w:cstheme="minorHAnsi"/>
          <w:b/>
          <w:sz w:val="36"/>
          <w:szCs w:val="30"/>
        </w:rPr>
      </w:pPr>
      <w:r w:rsidRPr="00C841B8">
        <w:rPr>
          <w:rFonts w:cstheme="minorHAnsi"/>
          <w:b/>
          <w:sz w:val="36"/>
          <w:szCs w:val="30"/>
        </w:rPr>
        <w:t>TD n°3 : Commerçant et conséquences attachées à cette qualité</w:t>
      </w:r>
    </w:p>
    <w:p w:rsidR="00655C17" w:rsidRPr="00C841B8" w:rsidRDefault="00655C17" w:rsidP="00655C17">
      <w:pPr>
        <w:pStyle w:val="Sansinterligne"/>
        <w:rPr>
          <w:rFonts w:cstheme="minorHAnsi"/>
          <w:szCs w:val="18"/>
        </w:rPr>
      </w:pPr>
    </w:p>
    <w:p w:rsidR="007377DF" w:rsidRPr="00C841B8" w:rsidRDefault="007377DF" w:rsidP="00655C17">
      <w:pPr>
        <w:pStyle w:val="Sansinterligne"/>
        <w:rPr>
          <w:rFonts w:cstheme="minorHAnsi"/>
          <w:szCs w:val="18"/>
        </w:rPr>
      </w:pPr>
    </w:p>
    <w:p w:rsidR="007377DF" w:rsidRPr="00C841B8" w:rsidRDefault="007377DF" w:rsidP="00C46994">
      <w:pPr>
        <w:pStyle w:val="Sansinterligne"/>
        <w:numPr>
          <w:ilvl w:val="0"/>
          <w:numId w:val="1"/>
        </w:numPr>
        <w:jc w:val="both"/>
        <w:rPr>
          <w:rFonts w:cstheme="minorHAnsi"/>
          <w:b/>
          <w:szCs w:val="18"/>
          <w:u w:val="single"/>
        </w:rPr>
      </w:pPr>
      <w:r w:rsidRPr="00C841B8">
        <w:rPr>
          <w:rFonts w:cstheme="minorHAnsi"/>
          <w:b/>
          <w:szCs w:val="18"/>
          <w:u w:val="single"/>
        </w:rPr>
        <w:t>Recherches</w:t>
      </w:r>
    </w:p>
    <w:p w:rsidR="007377DF" w:rsidRPr="00C841B8" w:rsidRDefault="007377DF" w:rsidP="00C46994">
      <w:pPr>
        <w:pStyle w:val="Sansinterligne"/>
        <w:jc w:val="both"/>
        <w:rPr>
          <w:rFonts w:cstheme="minorHAnsi"/>
          <w:szCs w:val="18"/>
        </w:rPr>
      </w:pPr>
    </w:p>
    <w:p w:rsidR="007377DF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>Conditions pour bénéficier du régime micro social :</w:t>
      </w:r>
    </w:p>
    <w:p w:rsidR="00D82918" w:rsidRPr="00C841B8" w:rsidRDefault="00D82918" w:rsidP="00C46994">
      <w:pPr>
        <w:pStyle w:val="Sansinterligne"/>
        <w:numPr>
          <w:ilvl w:val="0"/>
          <w:numId w:val="3"/>
        </w:numPr>
        <w:jc w:val="both"/>
        <w:rPr>
          <w:rFonts w:cstheme="minorHAnsi"/>
          <w:szCs w:val="18"/>
        </w:rPr>
      </w:pPr>
    </w:p>
    <w:p w:rsidR="003F73BF" w:rsidRPr="00C841B8" w:rsidRDefault="003F73BF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>Nb : si l’activité grandit, il faudra changer le statut. C’est pour créer des sociétés/des entreprises individuelles pour créer une affaire.</w:t>
      </w:r>
    </w:p>
    <w:p w:rsidR="007377DF" w:rsidRPr="00C841B8" w:rsidRDefault="007377DF" w:rsidP="00C46994">
      <w:pPr>
        <w:pStyle w:val="Sansinterligne"/>
        <w:jc w:val="both"/>
        <w:rPr>
          <w:rFonts w:cstheme="minorHAnsi"/>
          <w:szCs w:val="18"/>
        </w:rPr>
      </w:pPr>
    </w:p>
    <w:p w:rsidR="007377DF" w:rsidRPr="00C841B8" w:rsidRDefault="007377DF" w:rsidP="00C46994">
      <w:pPr>
        <w:pStyle w:val="Sansinterligne"/>
        <w:numPr>
          <w:ilvl w:val="0"/>
          <w:numId w:val="1"/>
        </w:numPr>
        <w:jc w:val="both"/>
        <w:rPr>
          <w:rFonts w:cstheme="minorHAnsi"/>
          <w:b/>
          <w:szCs w:val="18"/>
          <w:u w:val="single"/>
        </w:rPr>
      </w:pPr>
      <w:r w:rsidRPr="00C841B8">
        <w:rPr>
          <w:rFonts w:cstheme="minorHAnsi"/>
          <w:b/>
          <w:szCs w:val="18"/>
          <w:u w:val="single"/>
        </w:rPr>
        <w:t>Questions flash</w:t>
      </w:r>
    </w:p>
    <w:p w:rsidR="007377DF" w:rsidRPr="00C841B8" w:rsidRDefault="007377DF" w:rsidP="00C46994">
      <w:pPr>
        <w:pStyle w:val="Sansinterligne"/>
        <w:jc w:val="both"/>
        <w:rPr>
          <w:rFonts w:cstheme="minorHAnsi"/>
          <w:szCs w:val="18"/>
        </w:rPr>
      </w:pP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01.</w:t>
      </w:r>
      <w:r w:rsidRPr="00C841B8">
        <w:rPr>
          <w:rFonts w:cstheme="minorHAnsi"/>
          <w:szCs w:val="18"/>
        </w:rPr>
        <w:t xml:space="preserve"> </w:t>
      </w:r>
      <w:r w:rsidR="00655C17" w:rsidRPr="00C841B8">
        <w:rPr>
          <w:rFonts w:cstheme="minorHAnsi"/>
          <w:szCs w:val="18"/>
        </w:rPr>
        <w:t>Oui. La clause</w:t>
      </w:r>
      <w:r w:rsidR="00706CCA" w:rsidRPr="00C841B8">
        <w:rPr>
          <w:rFonts w:cstheme="minorHAnsi"/>
          <w:szCs w:val="18"/>
        </w:rPr>
        <w:t xml:space="preserve"> compromissoire est valable entre les commerçants</w:t>
      </w:r>
      <w:r w:rsidR="00655C17" w:rsidRPr="00C841B8">
        <w:rPr>
          <w:rFonts w:cstheme="minorHAnsi"/>
          <w:szCs w:val="18"/>
        </w:rPr>
        <w:t>.</w:t>
      </w:r>
      <w:r w:rsidR="00706CCA" w:rsidRPr="00C841B8">
        <w:rPr>
          <w:rFonts w:cstheme="minorHAnsi"/>
          <w:szCs w:val="18"/>
        </w:rPr>
        <w:t xml:space="preserve"> Le statut du peintre est artisan donc entre eux, il y aura un acte mixte.</w:t>
      </w:r>
      <w:r w:rsidR="00516225" w:rsidRPr="00C841B8">
        <w:rPr>
          <w:rFonts w:cstheme="minorHAnsi"/>
          <w:szCs w:val="18"/>
        </w:rPr>
        <w:t xml:space="preserve"> Mais une clause compromissoire ici ne sera donc pas valable.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02.</w:t>
      </w:r>
      <w:r w:rsidRPr="00C841B8">
        <w:rPr>
          <w:rFonts w:cstheme="minorHAnsi"/>
          <w:szCs w:val="18"/>
        </w:rPr>
        <w:t xml:space="preserve"> </w:t>
      </w:r>
      <w:r w:rsidR="00655C17" w:rsidRPr="00C841B8">
        <w:rPr>
          <w:rFonts w:cstheme="minorHAnsi"/>
          <w:szCs w:val="18"/>
        </w:rPr>
        <w:t xml:space="preserve">Non. </w:t>
      </w:r>
      <w:r w:rsidR="00A40222" w:rsidRPr="00C841B8">
        <w:rPr>
          <w:rFonts w:cstheme="minorHAnsi"/>
          <w:szCs w:val="18"/>
        </w:rPr>
        <w:t>Il s’agit là d’une profession médicale et s’il vend des médicaments, il le fait par accessoire</w:t>
      </w:r>
      <w:r w:rsidR="004048DE" w:rsidRPr="00C841B8">
        <w:rPr>
          <w:rFonts w:cstheme="minorHAnsi"/>
          <w:szCs w:val="18"/>
        </w:rPr>
        <w:t xml:space="preserve"> à son activité de vétérinaire.</w:t>
      </w:r>
      <w:r w:rsidR="00C46994" w:rsidRPr="00C841B8">
        <w:rPr>
          <w:rFonts w:cstheme="minorHAnsi"/>
          <w:szCs w:val="18"/>
        </w:rPr>
        <w:t xml:space="preserve"> D’autre part, il ne doit en aucun cas faire de bénéfice sur les vaccins ou sur les médicaments qu’il va revendre aux clients.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03.</w:t>
      </w:r>
      <w:r w:rsidRPr="00C841B8">
        <w:rPr>
          <w:rFonts w:cstheme="minorHAnsi"/>
          <w:szCs w:val="18"/>
        </w:rPr>
        <w:t xml:space="preserve"> </w:t>
      </w:r>
      <w:r w:rsidR="00655C17" w:rsidRPr="00C841B8">
        <w:rPr>
          <w:rFonts w:cstheme="minorHAnsi"/>
          <w:szCs w:val="18"/>
        </w:rPr>
        <w:t xml:space="preserve">Oui. </w:t>
      </w:r>
      <w:r w:rsidR="00127179" w:rsidRPr="00C841B8">
        <w:rPr>
          <w:rFonts w:cstheme="minorHAnsi"/>
          <w:szCs w:val="18"/>
        </w:rPr>
        <w:t>Entre commerçants, c’est la preuve par tous moyens. Donc même de sa propre comptabilité.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04.</w:t>
      </w:r>
      <w:r w:rsidRPr="00C841B8">
        <w:rPr>
          <w:rFonts w:cstheme="minorHAnsi"/>
          <w:szCs w:val="18"/>
        </w:rPr>
        <w:t xml:space="preserve"> </w:t>
      </w:r>
      <w:r w:rsidR="00655C17" w:rsidRPr="00C841B8">
        <w:rPr>
          <w:rFonts w:cstheme="minorHAnsi"/>
          <w:szCs w:val="18"/>
        </w:rPr>
        <w:t>Non</w:t>
      </w:r>
      <w:r w:rsidR="00127179" w:rsidRPr="00C841B8">
        <w:rPr>
          <w:rFonts w:cstheme="minorHAnsi"/>
          <w:szCs w:val="18"/>
        </w:rPr>
        <w:t>.</w:t>
      </w:r>
      <w:r w:rsidR="00655C17" w:rsidRPr="00C841B8">
        <w:rPr>
          <w:rFonts w:cstheme="minorHAnsi"/>
          <w:szCs w:val="18"/>
        </w:rPr>
        <w:t xml:space="preserve"> </w:t>
      </w:r>
      <w:r w:rsidR="00127179" w:rsidRPr="00C841B8">
        <w:rPr>
          <w:rFonts w:cstheme="minorHAnsi"/>
          <w:szCs w:val="18"/>
        </w:rPr>
        <w:t>Elle reste malgré tout un officier public ministériel mais en aucun cas elle n’aura le statut de commerçant. En revanche, si il y a une plainte contre elle ou si elle est mise en redressement judiciaire, elle pourra être requalifiée de commerçante et en e=avoir tous les désagréments et aucun avantage. Dance cas là, ce sera donc une liquidation judiciaire où elle sera passible de sanctions pénales, civiles et judiciaires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05.</w:t>
      </w:r>
      <w:r w:rsidR="00655C17" w:rsidRPr="00C841B8">
        <w:rPr>
          <w:rFonts w:cstheme="minorHAnsi"/>
          <w:szCs w:val="18"/>
        </w:rPr>
        <w:t xml:space="preserve"> </w:t>
      </w:r>
      <w:r w:rsidR="00DD53CC" w:rsidRPr="00C841B8">
        <w:rPr>
          <w:rFonts w:cstheme="minorHAnsi"/>
          <w:szCs w:val="18"/>
        </w:rPr>
        <w:t>Oui. Quand le commerçant est débiteur, on peut prouver ce débit par tous moyens. Alors que le commerçant vis-à-vis de celui qui n’est pas commerçant, n’a pas cette possibilité.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06.</w:t>
      </w:r>
      <w:r w:rsidRPr="00C841B8">
        <w:rPr>
          <w:rFonts w:cstheme="minorHAnsi"/>
          <w:szCs w:val="18"/>
        </w:rPr>
        <w:t xml:space="preserve"> </w:t>
      </w:r>
      <w:r w:rsidR="00655C17" w:rsidRPr="00C841B8">
        <w:rPr>
          <w:rFonts w:cstheme="minorHAnsi"/>
          <w:szCs w:val="18"/>
        </w:rPr>
        <w:t xml:space="preserve">Oui. </w:t>
      </w:r>
      <w:r w:rsidR="000208CD" w:rsidRPr="00C841B8">
        <w:rPr>
          <w:rFonts w:cstheme="minorHAnsi"/>
          <w:szCs w:val="18"/>
        </w:rPr>
        <w:t>Il doit passer par la préfecture pour avoir sa carte de commerçant étranger.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07.</w:t>
      </w:r>
      <w:r w:rsidRPr="00C841B8">
        <w:rPr>
          <w:rFonts w:cstheme="minorHAnsi"/>
          <w:szCs w:val="18"/>
        </w:rPr>
        <w:t xml:space="preserve"> </w:t>
      </w:r>
      <w:r w:rsidR="00FB5317" w:rsidRPr="00C841B8">
        <w:rPr>
          <w:rFonts w:cstheme="minorHAnsi"/>
          <w:szCs w:val="18"/>
        </w:rPr>
        <w:t>Non</w:t>
      </w:r>
      <w:r w:rsidR="00655C17" w:rsidRPr="00C841B8">
        <w:rPr>
          <w:rFonts w:cstheme="minorHAnsi"/>
          <w:szCs w:val="18"/>
        </w:rPr>
        <w:t xml:space="preserve">. </w:t>
      </w:r>
      <w:r w:rsidR="00FB5317" w:rsidRPr="00C841B8">
        <w:rPr>
          <w:rFonts w:cstheme="minorHAnsi"/>
          <w:szCs w:val="18"/>
        </w:rPr>
        <w:t>Le président du conseil d’administration n’ pas le statut de commerçant mais la SA oui. Il représente cette entreprise.</w:t>
      </w:r>
      <w:r w:rsidR="00F22034" w:rsidRPr="00C841B8">
        <w:rPr>
          <w:rFonts w:cstheme="minorHAnsi"/>
          <w:szCs w:val="18"/>
        </w:rPr>
        <w:t xml:space="preserve"> Nb : les associés d’une société commerciale ont le statut de commerçant dans le cas suivant :</w:t>
      </w:r>
      <w:r w:rsidR="00860EA0" w:rsidRPr="00C841B8">
        <w:rPr>
          <w:rFonts w:cstheme="minorHAnsi"/>
          <w:szCs w:val="18"/>
        </w:rPr>
        <w:t xml:space="preserve"> Société en Nom Collectif.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08.</w:t>
      </w:r>
      <w:r w:rsidRPr="00C841B8">
        <w:rPr>
          <w:rFonts w:cstheme="minorHAnsi"/>
          <w:szCs w:val="18"/>
        </w:rPr>
        <w:t xml:space="preserve"> </w:t>
      </w:r>
      <w:r w:rsidR="000128B0" w:rsidRPr="00C841B8">
        <w:rPr>
          <w:rFonts w:cstheme="minorHAnsi"/>
          <w:szCs w:val="18"/>
        </w:rPr>
        <w:t>Non</w:t>
      </w:r>
      <w:r w:rsidR="00655C17" w:rsidRPr="00C841B8">
        <w:rPr>
          <w:rFonts w:cstheme="minorHAnsi"/>
          <w:szCs w:val="18"/>
        </w:rPr>
        <w:t>. Ce n’est pas</w:t>
      </w:r>
      <w:r w:rsidR="000128B0" w:rsidRPr="00C841B8">
        <w:rPr>
          <w:rFonts w:cstheme="minorHAnsi"/>
          <w:szCs w:val="18"/>
        </w:rPr>
        <w:t xml:space="preserve"> de</w:t>
      </w:r>
      <w:r w:rsidR="00655C17" w:rsidRPr="00C841B8">
        <w:rPr>
          <w:rFonts w:cstheme="minorHAnsi"/>
          <w:szCs w:val="18"/>
        </w:rPr>
        <w:t xml:space="preserve"> la comp</w:t>
      </w:r>
      <w:r w:rsidR="000128B0" w:rsidRPr="00C841B8">
        <w:rPr>
          <w:rFonts w:cstheme="minorHAnsi"/>
          <w:szCs w:val="18"/>
        </w:rPr>
        <w:t>étence du tribunal de commerce.</w:t>
      </w:r>
    </w:p>
    <w:p w:rsidR="00655C17" w:rsidRPr="00C841B8" w:rsidRDefault="00D82918" w:rsidP="00262AC9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09.</w:t>
      </w:r>
      <w:r w:rsidRPr="00C841B8">
        <w:rPr>
          <w:rFonts w:cstheme="minorHAnsi"/>
          <w:szCs w:val="18"/>
        </w:rPr>
        <w:t xml:space="preserve"> </w:t>
      </w:r>
      <w:r w:rsidR="00262AC9" w:rsidRPr="00C841B8">
        <w:rPr>
          <w:rFonts w:cstheme="minorHAnsi"/>
          <w:szCs w:val="18"/>
        </w:rPr>
        <w:t>Oui</w:t>
      </w:r>
      <w:r w:rsidR="00655C17" w:rsidRPr="00C841B8">
        <w:rPr>
          <w:rFonts w:cstheme="minorHAnsi"/>
          <w:szCs w:val="18"/>
        </w:rPr>
        <w:t xml:space="preserve">. Le tribunal de commerce est compétent </w:t>
      </w:r>
      <w:r w:rsidR="00262AC9" w:rsidRPr="00C841B8">
        <w:rPr>
          <w:rFonts w:cstheme="minorHAnsi"/>
          <w:szCs w:val="18"/>
        </w:rPr>
        <w:t>pour connaitre des redressements ou liquidations judiciaires lorsque c’est un commerçant ou un artisan. Et dans les autres cas, c’est un tribunal civil.</w:t>
      </w:r>
    </w:p>
    <w:p w:rsidR="00655C17" w:rsidRPr="00C841B8" w:rsidRDefault="00D82918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10.</w:t>
      </w:r>
      <w:r w:rsidRPr="00C841B8">
        <w:rPr>
          <w:rFonts w:cstheme="minorHAnsi"/>
          <w:szCs w:val="18"/>
        </w:rPr>
        <w:t xml:space="preserve"> </w:t>
      </w:r>
      <w:r w:rsidR="00267996" w:rsidRPr="00C841B8">
        <w:rPr>
          <w:rFonts w:cstheme="minorHAnsi"/>
          <w:szCs w:val="18"/>
        </w:rPr>
        <w:t xml:space="preserve">Oui. </w:t>
      </w:r>
    </w:p>
    <w:p w:rsidR="00655C17" w:rsidRPr="00C841B8" w:rsidRDefault="00267996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11.</w:t>
      </w:r>
      <w:r w:rsidRPr="00C841B8">
        <w:rPr>
          <w:rFonts w:cstheme="minorHAnsi"/>
          <w:szCs w:val="18"/>
        </w:rPr>
        <w:t xml:space="preserve"> C’est un litige qui est entre lui, en tant que personne civile, et un artisan donc c’est le TGI (car somme est supérieure à 10.000€).</w:t>
      </w:r>
    </w:p>
    <w:p w:rsidR="00655C17" w:rsidRPr="00C841B8" w:rsidRDefault="00267996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12.</w:t>
      </w:r>
      <w:r w:rsidRPr="00C841B8">
        <w:rPr>
          <w:rFonts w:cstheme="minorHAnsi"/>
          <w:szCs w:val="18"/>
        </w:rPr>
        <w:t xml:space="preserve"> </w:t>
      </w:r>
      <w:r w:rsidR="002A5915" w:rsidRPr="00C841B8">
        <w:rPr>
          <w:rFonts w:cstheme="minorHAnsi"/>
          <w:szCs w:val="18"/>
        </w:rPr>
        <w:t>Le principe veut qu’on saisisse le tribunal du domicile du défendeur mais il y a une exception : parfois, il est préférable de saisir le tribunal du lieu de la livraison de la chose ou alors celui du lieu où est l’exécution de la prestation</w:t>
      </w:r>
      <w:r w:rsidR="00655C17" w:rsidRPr="00C841B8">
        <w:rPr>
          <w:rFonts w:cstheme="minorHAnsi"/>
          <w:szCs w:val="18"/>
        </w:rPr>
        <w:t>.</w:t>
      </w:r>
    </w:p>
    <w:p w:rsidR="003A341C" w:rsidRPr="00C841B8" w:rsidRDefault="002A5915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13.</w:t>
      </w:r>
      <w:r w:rsidRPr="00C841B8">
        <w:rPr>
          <w:rFonts w:cstheme="minorHAnsi"/>
          <w:szCs w:val="18"/>
        </w:rPr>
        <w:t xml:space="preserve"> </w:t>
      </w:r>
      <w:r w:rsidR="00911051" w:rsidRPr="00C841B8">
        <w:rPr>
          <w:rFonts w:cstheme="minorHAnsi"/>
          <w:szCs w:val="18"/>
        </w:rPr>
        <w:t>Non. Tout dépend du caractère habituel. Ici, c’est bien pour faire du commerce. Donc cette personne est considérée comme commerçant durant la saison</w:t>
      </w:r>
      <w:r w:rsidR="00EC4B00" w:rsidRPr="00C841B8">
        <w:rPr>
          <w:rFonts w:cstheme="minorHAnsi"/>
          <w:szCs w:val="18"/>
        </w:rPr>
        <w:t xml:space="preserve"> (de novembre à mai)</w:t>
      </w:r>
      <w:r w:rsidR="00911051" w:rsidRPr="00C841B8">
        <w:rPr>
          <w:rFonts w:cstheme="minorHAnsi"/>
          <w:szCs w:val="18"/>
        </w:rPr>
        <w:t>.</w:t>
      </w:r>
    </w:p>
    <w:p w:rsidR="00655C17" w:rsidRPr="00C841B8" w:rsidRDefault="002A5915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14.</w:t>
      </w:r>
      <w:r w:rsidRPr="00C841B8">
        <w:rPr>
          <w:rFonts w:cstheme="minorHAnsi"/>
          <w:szCs w:val="18"/>
        </w:rPr>
        <w:t xml:space="preserve"> </w:t>
      </w:r>
      <w:r w:rsidR="003E6CF6" w:rsidRPr="00C841B8">
        <w:rPr>
          <w:rFonts w:cstheme="minorHAnsi"/>
          <w:szCs w:val="18"/>
        </w:rPr>
        <w:t xml:space="preserve">Non. C’est une société civile qui a un objet commercial ; ils font des actes de commerce malgré tout. Une société civile peut être considérée comme commerciale. </w:t>
      </w:r>
      <w:r w:rsidR="00982E62" w:rsidRPr="00C841B8">
        <w:rPr>
          <w:rFonts w:cstheme="minorHAnsi"/>
          <w:szCs w:val="18"/>
        </w:rPr>
        <w:t xml:space="preserve">Ici, elle est commerciale par la forme. </w:t>
      </w:r>
      <w:r w:rsidR="003E6CF6" w:rsidRPr="00C841B8">
        <w:rPr>
          <w:rFonts w:cstheme="minorHAnsi"/>
          <w:szCs w:val="18"/>
        </w:rPr>
        <w:t>Un acte de commerce par accessoire est fait par un commerçant mais qui n’est commercial que parce que c’est un commerçant.</w:t>
      </w:r>
    </w:p>
    <w:p w:rsidR="00655C17" w:rsidRPr="00C841B8" w:rsidRDefault="002A5915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15.</w:t>
      </w:r>
      <w:r w:rsidRPr="00C841B8">
        <w:rPr>
          <w:rFonts w:cstheme="minorHAnsi"/>
          <w:szCs w:val="18"/>
        </w:rPr>
        <w:t xml:space="preserve"> </w:t>
      </w:r>
      <w:r w:rsidR="00166645" w:rsidRPr="00C841B8">
        <w:rPr>
          <w:rFonts w:cstheme="minorHAnsi"/>
          <w:szCs w:val="18"/>
        </w:rPr>
        <w:t>Non</w:t>
      </w:r>
      <w:r w:rsidR="00655C17" w:rsidRPr="00C841B8">
        <w:rPr>
          <w:rFonts w:cstheme="minorHAnsi"/>
          <w:szCs w:val="18"/>
        </w:rPr>
        <w:t>. Toutes les sociétés doivent s’inscrire au RCS</w:t>
      </w:r>
      <w:r w:rsidR="00166645" w:rsidRPr="00C841B8">
        <w:rPr>
          <w:rFonts w:cstheme="minorHAnsi"/>
          <w:szCs w:val="18"/>
        </w:rPr>
        <w:t> ; cela n’importe pas sur la présomption de commercialité.</w:t>
      </w:r>
    </w:p>
    <w:p w:rsidR="00577597" w:rsidRPr="00C841B8" w:rsidRDefault="002A5915" w:rsidP="00C46994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b/>
          <w:i/>
          <w:szCs w:val="18"/>
        </w:rPr>
        <w:t>16.</w:t>
      </w:r>
      <w:r w:rsidRPr="00C841B8">
        <w:rPr>
          <w:rFonts w:cstheme="minorHAnsi"/>
          <w:szCs w:val="18"/>
        </w:rPr>
        <w:t xml:space="preserve"> </w:t>
      </w:r>
      <w:r w:rsidR="00655C17" w:rsidRPr="00C841B8">
        <w:rPr>
          <w:rFonts w:cstheme="minorHAnsi"/>
          <w:szCs w:val="18"/>
        </w:rPr>
        <w:t>Vrai. Présomption de commercialité pour tous les actes passés par un commerçant.</w:t>
      </w:r>
    </w:p>
    <w:p w:rsidR="003E4438" w:rsidRPr="00C841B8" w:rsidRDefault="003E4438" w:rsidP="00C46994">
      <w:pPr>
        <w:pStyle w:val="Sansinterligne"/>
        <w:jc w:val="both"/>
        <w:rPr>
          <w:rFonts w:cstheme="minorHAnsi"/>
          <w:szCs w:val="18"/>
        </w:rPr>
      </w:pPr>
    </w:p>
    <w:p w:rsidR="00DE7F51" w:rsidRPr="00C841B8" w:rsidRDefault="00DE7F51" w:rsidP="00DE7F51">
      <w:pPr>
        <w:pStyle w:val="Sansinterligne"/>
        <w:numPr>
          <w:ilvl w:val="0"/>
          <w:numId w:val="1"/>
        </w:numPr>
        <w:jc w:val="both"/>
        <w:rPr>
          <w:rFonts w:cstheme="minorHAnsi"/>
          <w:b/>
          <w:szCs w:val="18"/>
          <w:u w:val="single"/>
        </w:rPr>
      </w:pPr>
      <w:r w:rsidRPr="00C841B8">
        <w:rPr>
          <w:rFonts w:cstheme="minorHAnsi"/>
          <w:b/>
          <w:szCs w:val="18"/>
          <w:u w:val="single"/>
        </w:rPr>
        <w:t>Cas pratiques</w:t>
      </w:r>
    </w:p>
    <w:p w:rsidR="00DE7F51" w:rsidRPr="00C841B8" w:rsidRDefault="00DE7F51" w:rsidP="00C46994">
      <w:pPr>
        <w:pStyle w:val="Sansinterligne"/>
        <w:jc w:val="both"/>
        <w:rPr>
          <w:rFonts w:cstheme="minorHAnsi"/>
          <w:szCs w:val="18"/>
        </w:rPr>
      </w:pPr>
    </w:p>
    <w:p w:rsidR="003E4438" w:rsidRPr="00C841B8" w:rsidRDefault="003E4438" w:rsidP="003E4438">
      <w:pPr>
        <w:pStyle w:val="Sansinterligne"/>
        <w:rPr>
          <w:rFonts w:cstheme="minorHAnsi"/>
          <w:b/>
          <w:szCs w:val="18"/>
        </w:rPr>
      </w:pPr>
      <w:r w:rsidRPr="00C841B8">
        <w:rPr>
          <w:rFonts w:cstheme="minorHAnsi"/>
          <w:b/>
          <w:szCs w:val="18"/>
        </w:rPr>
        <w:t>Cas n°1 :</w:t>
      </w:r>
    </w:p>
    <w:p w:rsidR="00E545F0" w:rsidRPr="00C841B8" w:rsidRDefault="00E545F0" w:rsidP="003E4438">
      <w:pPr>
        <w:pStyle w:val="Sansinterligne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>Aspégic est commerçant et Doliprane est non commerçant.</w:t>
      </w:r>
      <w:r w:rsidR="00AF77DE" w:rsidRPr="00C841B8">
        <w:rPr>
          <w:rFonts w:cstheme="minorHAnsi"/>
          <w:szCs w:val="18"/>
        </w:rPr>
        <w:t xml:space="preserve"> </w:t>
      </w:r>
      <w:r w:rsidR="001B4A7D" w:rsidRPr="00C841B8">
        <w:rPr>
          <w:rFonts w:cstheme="minorHAnsi"/>
          <w:szCs w:val="18"/>
        </w:rPr>
        <w:t xml:space="preserve">C’est un contrat mixte. </w:t>
      </w:r>
      <w:r w:rsidR="003A3F24" w:rsidRPr="00C841B8">
        <w:rPr>
          <w:rFonts w:cstheme="minorHAnsi"/>
          <w:szCs w:val="18"/>
        </w:rPr>
        <w:t>Ce dernier est le demandeur à l’</w:t>
      </w:r>
      <w:r w:rsidR="00DD03B3" w:rsidRPr="00C841B8">
        <w:rPr>
          <w:rFonts w:cstheme="minorHAnsi"/>
          <w:szCs w:val="18"/>
        </w:rPr>
        <w:t>action. C’est un contrat qui est commercial et civil pour l’autre partie.</w:t>
      </w:r>
      <w:r w:rsidR="00620DA0" w:rsidRPr="00C841B8">
        <w:rPr>
          <w:rFonts w:cstheme="minorHAnsi"/>
          <w:szCs w:val="18"/>
        </w:rPr>
        <w:t xml:space="preserve"> Il faut bien définir qui est le demandeur. </w:t>
      </w:r>
      <w:r w:rsidR="00BA3159" w:rsidRPr="00C841B8">
        <w:rPr>
          <w:rFonts w:cstheme="minorHAnsi"/>
          <w:szCs w:val="18"/>
        </w:rPr>
        <w:t>Un juge commercial = un juge consulaire.</w:t>
      </w:r>
      <w:r w:rsidR="0084006C" w:rsidRPr="00C841B8">
        <w:rPr>
          <w:rFonts w:cstheme="minorHAnsi"/>
          <w:szCs w:val="18"/>
        </w:rPr>
        <w:t xml:space="preserve"> Doliprane a le choix.</w:t>
      </w:r>
    </w:p>
    <w:p w:rsidR="0084006C" w:rsidRPr="00C841B8" w:rsidRDefault="0084006C" w:rsidP="003E4438">
      <w:pPr>
        <w:pStyle w:val="Sansinterligne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>Si Mr. Aspégic est le demandeur, le tribunal compétent serait le tribunal civil.</w:t>
      </w:r>
    </w:p>
    <w:p w:rsidR="003E4438" w:rsidRPr="00C841B8" w:rsidRDefault="003E4438" w:rsidP="003E4438">
      <w:pPr>
        <w:pStyle w:val="Sansinterligne"/>
        <w:rPr>
          <w:rFonts w:cstheme="minorHAnsi"/>
          <w:szCs w:val="18"/>
        </w:rPr>
      </w:pPr>
    </w:p>
    <w:p w:rsidR="003E4438" w:rsidRPr="00C841B8" w:rsidRDefault="003E4438" w:rsidP="003E4438">
      <w:pPr>
        <w:pStyle w:val="Sansinterligne"/>
        <w:rPr>
          <w:rFonts w:cstheme="minorHAnsi"/>
          <w:b/>
          <w:szCs w:val="18"/>
        </w:rPr>
      </w:pPr>
      <w:r w:rsidRPr="00C841B8">
        <w:rPr>
          <w:rFonts w:cstheme="minorHAnsi"/>
          <w:b/>
          <w:szCs w:val="18"/>
        </w:rPr>
        <w:t>Cas n°2 :</w:t>
      </w:r>
    </w:p>
    <w:p w:rsidR="003E4438" w:rsidRPr="00C841B8" w:rsidRDefault="00C46FC2" w:rsidP="003E4438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 xml:space="preserve">C’est une clause qui est valable. On est dans la compétence territoriale des tribunaux. </w:t>
      </w:r>
      <w:r w:rsidR="005F4E0D" w:rsidRPr="00C841B8">
        <w:rPr>
          <w:rFonts w:cstheme="minorHAnsi"/>
          <w:szCs w:val="18"/>
        </w:rPr>
        <w:t>Pour être valables, il faut qu</w:t>
      </w:r>
      <w:r w:rsidR="00257685" w:rsidRPr="00C841B8">
        <w:rPr>
          <w:rFonts w:cstheme="minorHAnsi"/>
          <w:szCs w:val="18"/>
        </w:rPr>
        <w:t>e</w:t>
      </w:r>
      <w:r w:rsidR="005F4E0D" w:rsidRPr="00C841B8">
        <w:rPr>
          <w:rFonts w:cstheme="minorHAnsi"/>
          <w:szCs w:val="18"/>
        </w:rPr>
        <w:t xml:space="preserve"> ces clauses soient entre commerçants et apparentes.</w:t>
      </w:r>
    </w:p>
    <w:p w:rsidR="004040D9" w:rsidRPr="00C841B8" w:rsidRDefault="004040D9" w:rsidP="003E4438">
      <w:pPr>
        <w:pStyle w:val="Sansinterligne"/>
        <w:jc w:val="both"/>
        <w:rPr>
          <w:rFonts w:cstheme="minorHAnsi"/>
          <w:szCs w:val="18"/>
        </w:rPr>
      </w:pPr>
    </w:p>
    <w:p w:rsidR="004040D9" w:rsidRPr="00C841B8" w:rsidRDefault="004040D9" w:rsidP="003E4438">
      <w:pPr>
        <w:pStyle w:val="Sansinterligne"/>
        <w:jc w:val="both"/>
        <w:rPr>
          <w:rFonts w:cstheme="minorHAnsi"/>
          <w:b/>
          <w:szCs w:val="18"/>
        </w:rPr>
      </w:pPr>
      <w:r w:rsidRPr="00C841B8">
        <w:rPr>
          <w:rFonts w:cstheme="minorHAnsi"/>
          <w:b/>
          <w:szCs w:val="18"/>
        </w:rPr>
        <w:t>Cas n°3 :</w:t>
      </w:r>
    </w:p>
    <w:p w:rsidR="0084640A" w:rsidRPr="00C841B8" w:rsidRDefault="00551E86" w:rsidP="003E4438">
      <w:pPr>
        <w:pStyle w:val="Sansinterligne"/>
        <w:jc w:val="both"/>
        <w:rPr>
          <w:rFonts w:cstheme="minorHAnsi"/>
          <w:szCs w:val="18"/>
        </w:rPr>
      </w:pPr>
      <w:proofErr w:type="spellStart"/>
      <w:r w:rsidRPr="00C841B8">
        <w:rPr>
          <w:rFonts w:cstheme="minorHAnsi"/>
          <w:szCs w:val="18"/>
        </w:rPr>
        <w:t>Ratione</w:t>
      </w:r>
      <w:proofErr w:type="spellEnd"/>
      <w:r w:rsidRPr="00C841B8">
        <w:rPr>
          <w:rFonts w:cstheme="minorHAnsi"/>
          <w:szCs w:val="18"/>
        </w:rPr>
        <w:t xml:space="preserve"> </w:t>
      </w:r>
      <w:proofErr w:type="spellStart"/>
      <w:r w:rsidRPr="00C841B8">
        <w:rPr>
          <w:rFonts w:cstheme="minorHAnsi"/>
          <w:szCs w:val="18"/>
        </w:rPr>
        <w:t>loci</w:t>
      </w:r>
      <w:proofErr w:type="spellEnd"/>
      <w:r w:rsidRPr="00C841B8">
        <w:rPr>
          <w:rFonts w:cstheme="minorHAnsi"/>
          <w:szCs w:val="18"/>
        </w:rPr>
        <w:t> : compétence territoriale</w:t>
      </w:r>
    </w:p>
    <w:p w:rsidR="00551E86" w:rsidRPr="00C841B8" w:rsidRDefault="00551E86" w:rsidP="003E4438">
      <w:pPr>
        <w:pStyle w:val="Sansinterligne"/>
        <w:jc w:val="both"/>
        <w:rPr>
          <w:rFonts w:cstheme="minorHAnsi"/>
          <w:szCs w:val="18"/>
        </w:rPr>
      </w:pPr>
      <w:proofErr w:type="spellStart"/>
      <w:r w:rsidRPr="00C841B8">
        <w:rPr>
          <w:rFonts w:cstheme="minorHAnsi"/>
          <w:szCs w:val="18"/>
        </w:rPr>
        <w:t>Ratione</w:t>
      </w:r>
      <w:proofErr w:type="spellEnd"/>
      <w:r w:rsidRPr="00C841B8">
        <w:rPr>
          <w:rFonts w:cstheme="minorHAnsi"/>
          <w:szCs w:val="18"/>
        </w:rPr>
        <w:t xml:space="preserve"> materiae : compétence d’attribution</w:t>
      </w:r>
    </w:p>
    <w:p w:rsidR="00EB7528" w:rsidRPr="00C841B8" w:rsidRDefault="00EB7528" w:rsidP="003E4438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>Il s’agit du tribunal civil.</w:t>
      </w:r>
    </w:p>
    <w:p w:rsidR="00EB7528" w:rsidRPr="00C841B8" w:rsidRDefault="00EB7528" w:rsidP="003E4438">
      <w:pPr>
        <w:pStyle w:val="Sansinterligne"/>
        <w:jc w:val="both"/>
        <w:rPr>
          <w:rFonts w:cstheme="minorHAnsi"/>
          <w:szCs w:val="18"/>
        </w:rPr>
      </w:pPr>
    </w:p>
    <w:p w:rsidR="00EB7528" w:rsidRPr="00C841B8" w:rsidRDefault="00EB7528" w:rsidP="003E4438">
      <w:pPr>
        <w:pStyle w:val="Sansinterligne"/>
        <w:jc w:val="both"/>
        <w:rPr>
          <w:rFonts w:cstheme="minorHAnsi"/>
          <w:b/>
          <w:szCs w:val="18"/>
        </w:rPr>
      </w:pPr>
      <w:r w:rsidRPr="00C841B8">
        <w:rPr>
          <w:rFonts w:cstheme="minorHAnsi"/>
          <w:b/>
          <w:szCs w:val="18"/>
        </w:rPr>
        <w:t>Cas n°4 :</w:t>
      </w:r>
    </w:p>
    <w:p w:rsidR="00EB7528" w:rsidRPr="00C841B8" w:rsidRDefault="004D6F5F" w:rsidP="003E4438">
      <w:pPr>
        <w:pStyle w:val="Sansinterligne"/>
        <w:jc w:val="both"/>
        <w:rPr>
          <w:rFonts w:cstheme="minorHAnsi"/>
          <w:szCs w:val="18"/>
        </w:rPr>
      </w:pPr>
      <w:r w:rsidRPr="00C841B8">
        <w:rPr>
          <w:rFonts w:cstheme="minorHAnsi"/>
          <w:szCs w:val="18"/>
        </w:rPr>
        <w:t xml:space="preserve">Mme </w:t>
      </w:r>
      <w:proofErr w:type="spellStart"/>
      <w:r w:rsidRPr="00C841B8">
        <w:rPr>
          <w:rFonts w:cstheme="minorHAnsi"/>
          <w:szCs w:val="18"/>
        </w:rPr>
        <w:t>Sécotine</w:t>
      </w:r>
      <w:proofErr w:type="spellEnd"/>
      <w:r w:rsidRPr="00C841B8">
        <w:rPr>
          <w:rFonts w:cstheme="minorHAnsi"/>
          <w:szCs w:val="18"/>
        </w:rPr>
        <w:t xml:space="preserve"> vend son fond de commerce, cède le bail commercial.</w:t>
      </w:r>
      <w:r w:rsidR="00575E7A" w:rsidRPr="00C841B8">
        <w:rPr>
          <w:rFonts w:cstheme="minorHAnsi"/>
          <w:szCs w:val="18"/>
        </w:rPr>
        <w:t xml:space="preserve"> De plus, elle se porte caution d</w:t>
      </w:r>
      <w:r w:rsidR="0074042A" w:rsidRPr="00C841B8">
        <w:rPr>
          <w:rFonts w:cstheme="minorHAnsi"/>
          <w:szCs w:val="18"/>
        </w:rPr>
        <w:t>u loyer de</w:t>
      </w:r>
      <w:r w:rsidR="006C5A3B" w:rsidRPr="00C841B8">
        <w:rPr>
          <w:rFonts w:cstheme="minorHAnsi"/>
          <w:szCs w:val="18"/>
        </w:rPr>
        <w:t xml:space="preserve"> Mr </w:t>
      </w:r>
      <w:proofErr w:type="spellStart"/>
      <w:r w:rsidR="006C5A3B" w:rsidRPr="00C841B8">
        <w:rPr>
          <w:rFonts w:cstheme="minorHAnsi"/>
          <w:szCs w:val="18"/>
        </w:rPr>
        <w:t>Corto</w:t>
      </w:r>
      <w:proofErr w:type="spellEnd"/>
      <w:r w:rsidR="006C5A3B" w:rsidRPr="00C841B8">
        <w:rPr>
          <w:rFonts w:cstheme="minorHAnsi"/>
          <w:szCs w:val="18"/>
        </w:rPr>
        <w:t xml:space="preserve">. </w:t>
      </w:r>
      <w:r w:rsidR="00575E7A" w:rsidRPr="00C841B8">
        <w:rPr>
          <w:rFonts w:cstheme="minorHAnsi"/>
          <w:szCs w:val="18"/>
        </w:rPr>
        <w:t>Mme S ne peut pas méconnaitre les usages</w:t>
      </w:r>
      <w:r w:rsidR="00E93465" w:rsidRPr="00C841B8">
        <w:rPr>
          <w:rFonts w:cstheme="minorHAnsi"/>
          <w:szCs w:val="18"/>
        </w:rPr>
        <w:t xml:space="preserve"> car elle était commerciale. </w:t>
      </w:r>
      <w:r w:rsidR="00AB4A0F" w:rsidRPr="00C841B8">
        <w:rPr>
          <w:rFonts w:cstheme="minorHAnsi"/>
          <w:szCs w:val="18"/>
        </w:rPr>
        <w:t xml:space="preserve">Elle ne peut pas s’exonérer de son engagement et doit </w:t>
      </w:r>
      <w:proofErr w:type="gramStart"/>
      <w:r w:rsidR="00AB4A0F" w:rsidRPr="00C841B8">
        <w:rPr>
          <w:rFonts w:cstheme="minorHAnsi"/>
          <w:szCs w:val="18"/>
        </w:rPr>
        <w:t>payer</w:t>
      </w:r>
      <w:proofErr w:type="gramEnd"/>
      <w:r w:rsidR="00AB4A0F" w:rsidRPr="00C841B8">
        <w:rPr>
          <w:rFonts w:cstheme="minorHAnsi"/>
          <w:szCs w:val="18"/>
        </w:rPr>
        <w:t xml:space="preserve"> ; Ensuite, c’est à elle de se retourner contre Mr </w:t>
      </w:r>
      <w:proofErr w:type="spellStart"/>
      <w:r w:rsidR="00AB4A0F" w:rsidRPr="00C841B8">
        <w:rPr>
          <w:rFonts w:cstheme="minorHAnsi"/>
          <w:szCs w:val="18"/>
        </w:rPr>
        <w:t>Corto</w:t>
      </w:r>
      <w:proofErr w:type="spellEnd"/>
      <w:r w:rsidR="00AB4A0F" w:rsidRPr="00C841B8">
        <w:rPr>
          <w:rFonts w:cstheme="minorHAnsi"/>
          <w:szCs w:val="18"/>
        </w:rPr>
        <w:t xml:space="preserve"> pour récupérer la somme d’argent.</w:t>
      </w:r>
    </w:p>
    <w:p w:rsidR="003C7B5C" w:rsidRPr="00C841B8" w:rsidRDefault="003C7B5C" w:rsidP="003E4438">
      <w:pPr>
        <w:pStyle w:val="Sansinterligne"/>
        <w:jc w:val="both"/>
        <w:rPr>
          <w:rFonts w:cstheme="minorHAnsi"/>
          <w:szCs w:val="18"/>
        </w:rPr>
      </w:pPr>
    </w:p>
    <w:p w:rsidR="003C7B5C" w:rsidRPr="00C841B8" w:rsidRDefault="003C7B5C" w:rsidP="003E4438">
      <w:pPr>
        <w:pStyle w:val="Sansinterligne"/>
        <w:jc w:val="both"/>
        <w:rPr>
          <w:rFonts w:cstheme="minorHAnsi"/>
          <w:szCs w:val="18"/>
        </w:rPr>
      </w:pPr>
    </w:p>
    <w:sectPr w:rsidR="003C7B5C" w:rsidRPr="00C841B8" w:rsidSect="005775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4F" w:rsidRDefault="000E7D4F" w:rsidP="00EB5D4A">
      <w:pPr>
        <w:spacing w:after="0" w:line="240" w:lineRule="auto"/>
      </w:pPr>
      <w:r>
        <w:separator/>
      </w:r>
    </w:p>
  </w:endnote>
  <w:endnote w:type="continuationSeparator" w:id="0">
    <w:p w:rsidR="000E7D4F" w:rsidRDefault="000E7D4F" w:rsidP="00EB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sz w:val="16"/>
        <w:szCs w:val="16"/>
      </w:rPr>
      <w:id w:val="125238321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  <w:sz w:val="16"/>
            <w:szCs w:val="16"/>
          </w:rPr>
          <w:id w:val="123787560"/>
          <w:docPartObj>
            <w:docPartGallery w:val="Page Numbers (Top of Page)"/>
            <w:docPartUnique/>
          </w:docPartObj>
        </w:sdtPr>
        <w:sdtContent>
          <w:p w:rsidR="00EB5D4A" w:rsidRPr="00EB5D4A" w:rsidRDefault="00EB5D4A">
            <w:pPr>
              <w:pStyle w:val="Pieddepage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5D4A">
              <w:rPr>
                <w:rFonts w:ascii="Comic Sans MS" w:hAnsi="Comic Sans MS"/>
                <w:sz w:val="16"/>
                <w:szCs w:val="16"/>
              </w:rPr>
              <w:t xml:space="preserve">Page </w:t>
            </w:r>
            <w:r w:rsidR="00182439" w:rsidRPr="00EB5D4A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Pr="00EB5D4A">
              <w:rPr>
                <w:rFonts w:ascii="Comic Sans MS" w:hAnsi="Comic Sans MS"/>
                <w:b/>
                <w:sz w:val="16"/>
                <w:szCs w:val="16"/>
              </w:rPr>
              <w:instrText>PAGE</w:instrText>
            </w:r>
            <w:r w:rsidR="00182439" w:rsidRPr="00EB5D4A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  <w:r w:rsidR="00C841B8">
              <w:rPr>
                <w:rFonts w:ascii="Comic Sans MS" w:hAnsi="Comic Sans MS"/>
                <w:b/>
                <w:noProof/>
                <w:sz w:val="16"/>
                <w:szCs w:val="16"/>
              </w:rPr>
              <w:t>1</w:t>
            </w:r>
            <w:r w:rsidR="00182439" w:rsidRPr="00EB5D4A"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  <w:r w:rsidRPr="00EB5D4A">
              <w:rPr>
                <w:rFonts w:ascii="Comic Sans MS" w:hAnsi="Comic Sans MS"/>
                <w:sz w:val="16"/>
                <w:szCs w:val="16"/>
              </w:rPr>
              <w:t xml:space="preserve"> sur </w:t>
            </w:r>
            <w:r w:rsidR="00182439" w:rsidRPr="00EB5D4A">
              <w:rPr>
                <w:rFonts w:ascii="Comic Sans MS" w:hAnsi="Comic Sans MS"/>
                <w:b/>
                <w:sz w:val="16"/>
                <w:szCs w:val="16"/>
              </w:rPr>
              <w:fldChar w:fldCharType="begin"/>
            </w:r>
            <w:r w:rsidRPr="00EB5D4A">
              <w:rPr>
                <w:rFonts w:ascii="Comic Sans MS" w:hAnsi="Comic Sans MS"/>
                <w:b/>
                <w:sz w:val="16"/>
                <w:szCs w:val="16"/>
              </w:rPr>
              <w:instrText>NUMPAGES</w:instrText>
            </w:r>
            <w:r w:rsidR="00182439" w:rsidRPr="00EB5D4A">
              <w:rPr>
                <w:rFonts w:ascii="Comic Sans MS" w:hAnsi="Comic Sans MS"/>
                <w:b/>
                <w:sz w:val="16"/>
                <w:szCs w:val="16"/>
              </w:rPr>
              <w:fldChar w:fldCharType="separate"/>
            </w:r>
            <w:r w:rsidR="00C841B8">
              <w:rPr>
                <w:rFonts w:ascii="Comic Sans MS" w:hAnsi="Comic Sans MS"/>
                <w:b/>
                <w:noProof/>
                <w:sz w:val="16"/>
                <w:szCs w:val="16"/>
              </w:rPr>
              <w:t>2</w:t>
            </w:r>
            <w:r w:rsidR="00182439" w:rsidRPr="00EB5D4A">
              <w:rPr>
                <w:rFonts w:ascii="Comic Sans MS" w:hAnsi="Comic Sans MS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4F" w:rsidRDefault="000E7D4F" w:rsidP="00EB5D4A">
      <w:pPr>
        <w:spacing w:after="0" w:line="240" w:lineRule="auto"/>
      </w:pPr>
      <w:r>
        <w:separator/>
      </w:r>
    </w:p>
  </w:footnote>
  <w:footnote w:type="continuationSeparator" w:id="0">
    <w:p w:rsidR="000E7D4F" w:rsidRDefault="000E7D4F" w:rsidP="00EB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A" w:rsidRPr="00EB5D4A" w:rsidRDefault="00EB5D4A" w:rsidP="00EB5D4A">
    <w:pPr>
      <w:pStyle w:val="En-tte"/>
      <w:tabs>
        <w:tab w:val="clear" w:pos="4536"/>
      </w:tabs>
      <w:rPr>
        <w:rFonts w:ascii="Comic Sans MS" w:hAnsi="Comic Sans MS"/>
        <w:sz w:val="16"/>
        <w:szCs w:val="16"/>
      </w:rPr>
    </w:pPr>
    <w:r w:rsidRPr="00EB5D4A">
      <w:rPr>
        <w:rFonts w:ascii="Comic Sans MS" w:hAnsi="Comic Sans MS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32E"/>
    <w:multiLevelType w:val="hybridMultilevel"/>
    <w:tmpl w:val="F65822DA"/>
    <w:lvl w:ilvl="0" w:tplc="97A89C42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96146"/>
    <w:multiLevelType w:val="hybridMultilevel"/>
    <w:tmpl w:val="43520644"/>
    <w:lvl w:ilvl="0" w:tplc="A5AAE2E6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71941"/>
    <w:multiLevelType w:val="hybridMultilevel"/>
    <w:tmpl w:val="36C45D6C"/>
    <w:lvl w:ilvl="0" w:tplc="364A43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C17"/>
    <w:rsid w:val="000128B0"/>
    <w:rsid w:val="000208CD"/>
    <w:rsid w:val="000344A1"/>
    <w:rsid w:val="000D3DBD"/>
    <w:rsid w:val="000E7D4F"/>
    <w:rsid w:val="00127179"/>
    <w:rsid w:val="00166645"/>
    <w:rsid w:val="00174B59"/>
    <w:rsid w:val="00182439"/>
    <w:rsid w:val="0018440A"/>
    <w:rsid w:val="001B4A7D"/>
    <w:rsid w:val="00214C0A"/>
    <w:rsid w:val="00257685"/>
    <w:rsid w:val="00262AC9"/>
    <w:rsid w:val="00267996"/>
    <w:rsid w:val="002A5915"/>
    <w:rsid w:val="003405D2"/>
    <w:rsid w:val="003A341C"/>
    <w:rsid w:val="003A3F24"/>
    <w:rsid w:val="003C3C9E"/>
    <w:rsid w:val="003C7B5C"/>
    <w:rsid w:val="003E4438"/>
    <w:rsid w:val="003E6CF6"/>
    <w:rsid w:val="003F73BF"/>
    <w:rsid w:val="00401326"/>
    <w:rsid w:val="004040D9"/>
    <w:rsid w:val="004048DE"/>
    <w:rsid w:val="00453FAA"/>
    <w:rsid w:val="00481E1F"/>
    <w:rsid w:val="004C4575"/>
    <w:rsid w:val="004D6F5F"/>
    <w:rsid w:val="00516225"/>
    <w:rsid w:val="00551E86"/>
    <w:rsid w:val="00575E7A"/>
    <w:rsid w:val="00577597"/>
    <w:rsid w:val="005F4E0D"/>
    <w:rsid w:val="00600466"/>
    <w:rsid w:val="00620DA0"/>
    <w:rsid w:val="0065462C"/>
    <w:rsid w:val="00655C17"/>
    <w:rsid w:val="00691CA2"/>
    <w:rsid w:val="006C5A3B"/>
    <w:rsid w:val="006F7D3E"/>
    <w:rsid w:val="00706CCA"/>
    <w:rsid w:val="00717CF0"/>
    <w:rsid w:val="007377DF"/>
    <w:rsid w:val="0074042A"/>
    <w:rsid w:val="00763745"/>
    <w:rsid w:val="00833D97"/>
    <w:rsid w:val="0084006C"/>
    <w:rsid w:val="0084640A"/>
    <w:rsid w:val="00860EA0"/>
    <w:rsid w:val="008C4CE2"/>
    <w:rsid w:val="008C7435"/>
    <w:rsid w:val="008D1104"/>
    <w:rsid w:val="00911051"/>
    <w:rsid w:val="00982E62"/>
    <w:rsid w:val="009A79D2"/>
    <w:rsid w:val="009B1A02"/>
    <w:rsid w:val="00A22822"/>
    <w:rsid w:val="00A40222"/>
    <w:rsid w:val="00AB4A0F"/>
    <w:rsid w:val="00AF77DE"/>
    <w:rsid w:val="00B81A1D"/>
    <w:rsid w:val="00BA3159"/>
    <w:rsid w:val="00C46994"/>
    <w:rsid w:val="00C46FC2"/>
    <w:rsid w:val="00C841B8"/>
    <w:rsid w:val="00D82918"/>
    <w:rsid w:val="00DD03B3"/>
    <w:rsid w:val="00DD53CC"/>
    <w:rsid w:val="00DE7F51"/>
    <w:rsid w:val="00E41A61"/>
    <w:rsid w:val="00E545F0"/>
    <w:rsid w:val="00E93465"/>
    <w:rsid w:val="00EB5D4A"/>
    <w:rsid w:val="00EB7528"/>
    <w:rsid w:val="00EC4B00"/>
    <w:rsid w:val="00F22034"/>
    <w:rsid w:val="00F342C6"/>
    <w:rsid w:val="00F70D12"/>
    <w:rsid w:val="00FB5317"/>
    <w:rsid w:val="00FC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5C1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44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B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B5D4A"/>
  </w:style>
  <w:style w:type="paragraph" w:styleId="Pieddepage">
    <w:name w:val="footer"/>
    <w:basedOn w:val="Normal"/>
    <w:link w:val="PieddepageCar"/>
    <w:uiPriority w:val="99"/>
    <w:unhideWhenUsed/>
    <w:rsid w:val="00EB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648</Words>
  <Characters>3565</Characters>
  <Application>Microsoft Office Word</Application>
  <DocSecurity>0</DocSecurity>
  <Lines>29</Lines>
  <Paragraphs>8</Paragraphs>
  <ScaleCrop>false</ScaleCrop>
  <Company>DELLNBX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Mi</dc:creator>
  <cp:lastModifiedBy>SARAH</cp:lastModifiedBy>
  <cp:revision>90</cp:revision>
  <dcterms:created xsi:type="dcterms:W3CDTF">2011-02-21T09:38:00Z</dcterms:created>
  <dcterms:modified xsi:type="dcterms:W3CDTF">2011-10-18T09:32:00Z</dcterms:modified>
</cp:coreProperties>
</file>