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67F27" w:rsidRPr="00A50EE2" w:rsidRDefault="00767F27" w:rsidP="00CC6107">
      <w:pPr>
        <w:pStyle w:val="NoSpacing"/>
        <w:tabs>
          <w:tab w:val="left" w:pos="6804"/>
        </w:tabs>
        <w:jc w:val="center"/>
        <w:outlineLvl w:val="0"/>
        <w:rPr>
          <w:rFonts w:cstheme="minorHAnsi"/>
          <w:b/>
          <w:color w:val="FF0000"/>
          <w:sz w:val="36"/>
          <w:szCs w:val="30"/>
        </w:rPr>
      </w:pPr>
      <w:r w:rsidRPr="00A50EE2">
        <w:rPr>
          <w:rFonts w:cstheme="minorHAnsi"/>
          <w:b/>
          <w:color w:val="FF0000"/>
          <w:sz w:val="36"/>
          <w:szCs w:val="30"/>
        </w:rPr>
        <w:t>TD n°1 : Introduction, usage et arbitrage</w:t>
      </w:r>
    </w:p>
    <w:p w:rsidR="00767F27" w:rsidRPr="00A50EE2" w:rsidRDefault="00767F27" w:rsidP="00767F27">
      <w:pPr>
        <w:pStyle w:val="NoSpacing"/>
        <w:rPr>
          <w:rFonts w:cstheme="minorHAnsi"/>
          <w:sz w:val="28"/>
        </w:rPr>
      </w:pPr>
    </w:p>
    <w:p w:rsidR="00E52F60" w:rsidRPr="00A50EE2" w:rsidRDefault="00E52F60" w:rsidP="00CC6107">
      <w:pPr>
        <w:pStyle w:val="NoSpacing"/>
        <w:numPr>
          <w:ilvl w:val="0"/>
          <w:numId w:val="1"/>
        </w:numPr>
        <w:tabs>
          <w:tab w:val="left" w:pos="6663"/>
        </w:tabs>
        <w:jc w:val="both"/>
        <w:outlineLvl w:val="0"/>
        <w:rPr>
          <w:rFonts w:cstheme="minorHAnsi"/>
          <w:b/>
          <w:color w:val="00B050"/>
          <w:szCs w:val="18"/>
        </w:rPr>
      </w:pPr>
      <w:r w:rsidRPr="00A50EE2">
        <w:rPr>
          <w:rFonts w:cstheme="minorHAnsi"/>
          <w:b/>
          <w:color w:val="00B050"/>
          <w:szCs w:val="18"/>
        </w:rPr>
        <w:t>Questions flash</w:t>
      </w:r>
    </w:p>
    <w:p w:rsidR="00E52F60" w:rsidRPr="00A50EE2" w:rsidRDefault="00E52F60" w:rsidP="00CC45A0">
      <w:pPr>
        <w:pStyle w:val="NoSpacing"/>
        <w:tabs>
          <w:tab w:val="left" w:pos="6663"/>
        </w:tabs>
        <w:jc w:val="both"/>
        <w:rPr>
          <w:rFonts w:cstheme="minorHAnsi"/>
          <w:szCs w:val="18"/>
        </w:rPr>
      </w:pPr>
    </w:p>
    <w:p w:rsidR="00DF4985" w:rsidRPr="00A50EE2" w:rsidRDefault="00E52F60" w:rsidP="00CC45A0">
      <w:pPr>
        <w:pStyle w:val="NoSpacing"/>
        <w:tabs>
          <w:tab w:val="left" w:pos="6663"/>
        </w:tabs>
        <w:jc w:val="both"/>
        <w:rPr>
          <w:rFonts w:cstheme="minorHAnsi"/>
          <w:szCs w:val="18"/>
        </w:rPr>
      </w:pPr>
      <w:r w:rsidRPr="00A50EE2">
        <w:rPr>
          <w:rFonts w:cstheme="minorHAnsi"/>
          <w:szCs w:val="18"/>
        </w:rPr>
        <w:t xml:space="preserve">1. </w:t>
      </w:r>
      <w:r w:rsidR="00797395" w:rsidRPr="00A50EE2">
        <w:rPr>
          <w:rFonts w:cstheme="minorHAnsi"/>
          <w:szCs w:val="18"/>
        </w:rPr>
        <w:t>Vrai</w:t>
      </w:r>
      <w:r w:rsidR="00D05179" w:rsidRPr="00A50EE2">
        <w:rPr>
          <w:rFonts w:cstheme="minorHAnsi"/>
          <w:szCs w:val="18"/>
        </w:rPr>
        <w:t xml:space="preserve">. </w:t>
      </w:r>
      <w:r w:rsidR="00797395" w:rsidRPr="00A50EE2">
        <w:rPr>
          <w:rFonts w:cstheme="minorHAnsi"/>
          <w:szCs w:val="18"/>
        </w:rPr>
        <w:t>C’est une loi commerciale</w:t>
      </w:r>
      <w:r w:rsidRPr="00A50EE2">
        <w:rPr>
          <w:rFonts w:cstheme="minorHAnsi"/>
          <w:szCs w:val="18"/>
        </w:rPr>
        <w:t>.</w:t>
      </w:r>
      <w:r w:rsidR="00797395" w:rsidRPr="00A50EE2">
        <w:rPr>
          <w:rFonts w:cstheme="minorHAnsi"/>
          <w:szCs w:val="18"/>
        </w:rPr>
        <w:t xml:space="preserve"> C’est le droit des marchés donc une loi commerciale. Ensemble de règle qui régissent les relations contractuelles entre les commerçants. Elle est plus fondée sur les usages que sur les codes.</w:t>
      </w:r>
    </w:p>
    <w:p w:rsidR="00797395" w:rsidRPr="00A50EE2" w:rsidRDefault="00D05179" w:rsidP="00CC45A0">
      <w:pPr>
        <w:pStyle w:val="NoSpacing"/>
        <w:tabs>
          <w:tab w:val="left" w:pos="6663"/>
        </w:tabs>
        <w:jc w:val="both"/>
        <w:rPr>
          <w:rFonts w:cstheme="minorHAnsi"/>
          <w:szCs w:val="18"/>
        </w:rPr>
      </w:pPr>
      <w:r w:rsidRPr="00A50EE2">
        <w:rPr>
          <w:rFonts w:cstheme="minorHAnsi"/>
          <w:szCs w:val="18"/>
        </w:rPr>
        <w:t>2. Faux. Les incortems sont des termes commerciaux internationaux. C’est une série de règles qui précisent les obligations du vendeur et de l’acheteur, la répartition des frais et des risques pour le transport de marchandises.</w:t>
      </w:r>
      <w:r w:rsidR="00797395" w:rsidRPr="00A50EE2">
        <w:rPr>
          <w:rFonts w:cstheme="minorHAnsi"/>
          <w:szCs w:val="18"/>
        </w:rPr>
        <w:t xml:space="preserve"> Ce sont à l’origine des coutumes que l’on a formulé.</w:t>
      </w:r>
    </w:p>
    <w:p w:rsidR="00D05179" w:rsidRPr="00A50EE2" w:rsidRDefault="00D05179" w:rsidP="00CC45A0">
      <w:pPr>
        <w:pStyle w:val="NoSpacing"/>
        <w:tabs>
          <w:tab w:val="left" w:pos="6663"/>
        </w:tabs>
        <w:jc w:val="both"/>
        <w:rPr>
          <w:rFonts w:cstheme="minorHAnsi"/>
          <w:szCs w:val="18"/>
        </w:rPr>
      </w:pPr>
      <w:r w:rsidRPr="00A50EE2">
        <w:rPr>
          <w:rFonts w:cstheme="minorHAnsi"/>
          <w:szCs w:val="18"/>
        </w:rPr>
        <w:t xml:space="preserve">3. </w:t>
      </w:r>
      <w:r w:rsidR="00411732" w:rsidRPr="00A50EE2">
        <w:rPr>
          <w:rFonts w:cstheme="minorHAnsi"/>
          <w:szCs w:val="18"/>
        </w:rPr>
        <w:t xml:space="preserve">Vrai. </w:t>
      </w:r>
      <w:r w:rsidR="0096491A" w:rsidRPr="00A50EE2">
        <w:rPr>
          <w:rFonts w:cstheme="minorHAnsi"/>
          <w:szCs w:val="18"/>
        </w:rPr>
        <w:t xml:space="preserve">En droit des affaires, c’est un droit très ancien. </w:t>
      </w:r>
      <w:r w:rsidR="00F14430" w:rsidRPr="00A50EE2">
        <w:rPr>
          <w:rFonts w:cstheme="minorHAnsi"/>
          <w:szCs w:val="18"/>
        </w:rPr>
        <w:t>L’origine vient de Babylone, d’Amourabi (1750 avant JC), là où il y a eu le premier code de commerce. Ensuite, Justinien (empereur romain d’orient), et encore après en 1673, Colbert a formalisé les choses, il a essayé de mettre de l’ordre, faire la différence entre les faillites involontaires et l</w:t>
      </w:r>
      <w:r w:rsidR="005649B3" w:rsidRPr="00A50EE2">
        <w:rPr>
          <w:rFonts w:cstheme="minorHAnsi"/>
          <w:szCs w:val="18"/>
        </w:rPr>
        <w:t>es banques routes frauduleuses. Son ordonnance a été reprise en 1807 par Napoléon.</w:t>
      </w:r>
    </w:p>
    <w:p w:rsidR="00411732" w:rsidRPr="00A50EE2" w:rsidRDefault="00411732" w:rsidP="00CC45A0">
      <w:pPr>
        <w:pStyle w:val="NoSpacing"/>
        <w:tabs>
          <w:tab w:val="left" w:pos="6663"/>
        </w:tabs>
        <w:jc w:val="both"/>
        <w:rPr>
          <w:rFonts w:cstheme="minorHAnsi"/>
          <w:szCs w:val="18"/>
        </w:rPr>
      </w:pPr>
    </w:p>
    <w:p w:rsidR="00411732" w:rsidRPr="00A50EE2" w:rsidRDefault="00411732" w:rsidP="00CC6107">
      <w:pPr>
        <w:pStyle w:val="NoSpacing"/>
        <w:numPr>
          <w:ilvl w:val="0"/>
          <w:numId w:val="1"/>
        </w:numPr>
        <w:tabs>
          <w:tab w:val="left" w:pos="6663"/>
        </w:tabs>
        <w:jc w:val="both"/>
        <w:outlineLvl w:val="0"/>
        <w:rPr>
          <w:rFonts w:cstheme="minorHAnsi"/>
          <w:b/>
          <w:color w:val="00B050"/>
          <w:szCs w:val="18"/>
        </w:rPr>
      </w:pPr>
      <w:r w:rsidRPr="00A50EE2">
        <w:rPr>
          <w:rFonts w:cstheme="minorHAnsi"/>
          <w:b/>
          <w:color w:val="00B050"/>
          <w:szCs w:val="18"/>
        </w:rPr>
        <w:t>Synthèse</w:t>
      </w:r>
    </w:p>
    <w:p w:rsidR="00411732" w:rsidRPr="00A50EE2" w:rsidRDefault="00411732" w:rsidP="00CC45A0">
      <w:pPr>
        <w:pStyle w:val="NoSpacing"/>
        <w:tabs>
          <w:tab w:val="left" w:pos="6663"/>
        </w:tabs>
        <w:jc w:val="both"/>
        <w:rPr>
          <w:rFonts w:cstheme="minorHAnsi"/>
          <w:szCs w:val="18"/>
        </w:rPr>
      </w:pPr>
    </w:p>
    <w:p w:rsidR="0046002F" w:rsidRPr="00A50EE2" w:rsidRDefault="001107FC" w:rsidP="00CC45A0">
      <w:pPr>
        <w:pStyle w:val="NoSpacing"/>
        <w:tabs>
          <w:tab w:val="left" w:pos="6663"/>
        </w:tabs>
        <w:jc w:val="both"/>
        <w:rPr>
          <w:rFonts w:cstheme="minorHAnsi"/>
          <w:szCs w:val="18"/>
        </w:rPr>
      </w:pPr>
      <w:r w:rsidRPr="00A50EE2">
        <w:rPr>
          <w:rFonts w:cstheme="minorHAnsi"/>
          <w:szCs w:val="18"/>
        </w:rPr>
        <w:t>C’est un contrat conclu entre deux parties d’un litige. Ces parties décident de soumettre à l’arbirtrage les litiges qui les opposent. Les parties choisissent le ou les arbitres, généralement. Ils doivent être un nombre impair.</w:t>
      </w:r>
      <w:r w:rsidR="00D93A1B" w:rsidRPr="00A50EE2">
        <w:rPr>
          <w:rFonts w:cstheme="minorHAnsi"/>
          <w:szCs w:val="18"/>
        </w:rPr>
        <w:t xml:space="preserve"> Souvent, chaque partie désigne un arbitre et les deux a</w:t>
      </w:r>
      <w:r w:rsidR="007A04EA" w:rsidRPr="00A50EE2">
        <w:rPr>
          <w:rFonts w:cstheme="minorHAnsi"/>
          <w:szCs w:val="18"/>
        </w:rPr>
        <w:t>rbitres désignent un troisième.</w:t>
      </w:r>
    </w:p>
    <w:p w:rsidR="007A04EA" w:rsidRPr="00A50EE2" w:rsidRDefault="007A04EA" w:rsidP="00CC45A0">
      <w:pPr>
        <w:pStyle w:val="NoSpacing"/>
        <w:tabs>
          <w:tab w:val="left" w:pos="6663"/>
        </w:tabs>
        <w:jc w:val="both"/>
        <w:rPr>
          <w:rFonts w:cstheme="minorHAnsi"/>
          <w:szCs w:val="18"/>
        </w:rPr>
      </w:pPr>
      <w:r w:rsidRPr="00A50EE2">
        <w:rPr>
          <w:rFonts w:cstheme="minorHAnsi"/>
          <w:szCs w:val="18"/>
        </w:rPr>
        <w:t>Ces arbitres sont rémunérés par le sparties (indépendance ?). litige soumis à une justice privée qui repose sur un fondement contractuel. Quand on fait appel à des arbitres, on met de côté la justice étatique (les tribunaux). Ces arbitres vont rendre une décision : sentence arbitrale qui a la même valeur qu’un jugement. En matière commerciale, il y a deux types de conventions arbitrales :</w:t>
      </w:r>
    </w:p>
    <w:p w:rsidR="00BB668F" w:rsidRPr="00A50EE2" w:rsidRDefault="007A04EA" w:rsidP="007A04EA">
      <w:pPr>
        <w:pStyle w:val="NoSpacing"/>
        <w:numPr>
          <w:ilvl w:val="0"/>
          <w:numId w:val="5"/>
        </w:numPr>
        <w:tabs>
          <w:tab w:val="left" w:pos="6663"/>
        </w:tabs>
        <w:jc w:val="both"/>
        <w:rPr>
          <w:rFonts w:cstheme="minorHAnsi"/>
          <w:szCs w:val="18"/>
        </w:rPr>
      </w:pPr>
      <w:r w:rsidRPr="00A50EE2">
        <w:rPr>
          <w:rFonts w:cstheme="minorHAnsi"/>
          <w:szCs w:val="18"/>
        </w:rPr>
        <w:t>La clause compromissoire (qui n’existe pas en matière civile)</w:t>
      </w:r>
      <w:r w:rsidR="006F684F" w:rsidRPr="00A50EE2">
        <w:rPr>
          <w:rFonts w:cstheme="minorHAnsi"/>
          <w:szCs w:val="18"/>
        </w:rPr>
        <w:t>. C’est une clause inséré dans un contrat et les parties au contrat s’engagent à se soumettre à l’arbitrage. Les litiges qui pourraient survenir lors de l’</w:t>
      </w:r>
      <w:r w:rsidR="007324A1" w:rsidRPr="00A50EE2">
        <w:rPr>
          <w:rFonts w:cstheme="minorHAnsi"/>
          <w:szCs w:val="18"/>
        </w:rPr>
        <w:t>exécution</w:t>
      </w:r>
      <w:r w:rsidR="006F684F" w:rsidRPr="00A50EE2">
        <w:rPr>
          <w:rFonts w:cstheme="minorHAnsi"/>
          <w:szCs w:val="18"/>
        </w:rPr>
        <w:t xml:space="preserve"> du contrat : si un litige </w:t>
      </w:r>
      <w:r w:rsidR="00BB668F" w:rsidRPr="00A50EE2">
        <w:rPr>
          <w:rFonts w:cstheme="minorHAnsi"/>
          <w:szCs w:val="18"/>
        </w:rPr>
        <w:t xml:space="preserve">survient, on le </w:t>
      </w:r>
      <w:r w:rsidR="007324A1" w:rsidRPr="00A50EE2">
        <w:rPr>
          <w:rFonts w:cstheme="minorHAnsi"/>
          <w:szCs w:val="18"/>
        </w:rPr>
        <w:t>résoud</w:t>
      </w:r>
      <w:r w:rsidR="00BB668F" w:rsidRPr="00A50EE2">
        <w:rPr>
          <w:rFonts w:cstheme="minorHAnsi"/>
          <w:szCs w:val="18"/>
        </w:rPr>
        <w:t xml:space="preserve"> par l’arbitrage. Régler le sort des litiges qui sont à naître.</w:t>
      </w:r>
      <w:r w:rsidR="002C0615" w:rsidRPr="00A50EE2">
        <w:rPr>
          <w:rFonts w:cstheme="minorHAnsi"/>
          <w:szCs w:val="18"/>
        </w:rPr>
        <w:t xml:space="preserve"> Quand il y a une clause, normalement, il doit être soumis aux arbitres. Parfois une des parties oublient cette clause et saisit un tribunal. Ce dernier ou l’autre partie doivent le signa</w:t>
      </w:r>
      <w:r w:rsidR="005F365F" w:rsidRPr="00A50EE2">
        <w:rPr>
          <w:rFonts w:cstheme="minorHAnsi"/>
          <w:szCs w:val="18"/>
        </w:rPr>
        <w:t>ler =&gt; incompétence du tribunal.</w:t>
      </w:r>
    </w:p>
    <w:p w:rsidR="007A04EA" w:rsidRPr="00A50EE2" w:rsidRDefault="007A04EA" w:rsidP="007A04EA">
      <w:pPr>
        <w:pStyle w:val="NoSpacing"/>
        <w:numPr>
          <w:ilvl w:val="0"/>
          <w:numId w:val="5"/>
        </w:numPr>
        <w:tabs>
          <w:tab w:val="left" w:pos="6663"/>
        </w:tabs>
        <w:jc w:val="both"/>
        <w:rPr>
          <w:rFonts w:cstheme="minorHAnsi"/>
          <w:szCs w:val="18"/>
        </w:rPr>
      </w:pPr>
      <w:r w:rsidRPr="00A50EE2">
        <w:rPr>
          <w:rFonts w:cstheme="minorHAnsi"/>
          <w:szCs w:val="18"/>
        </w:rPr>
        <w:t>Le compromis</w:t>
      </w:r>
      <w:r w:rsidR="006F684F" w:rsidRPr="00A50EE2">
        <w:rPr>
          <w:rFonts w:cstheme="minorHAnsi"/>
          <w:szCs w:val="18"/>
        </w:rPr>
        <w:t>.</w:t>
      </w:r>
      <w:r w:rsidR="00BB668F" w:rsidRPr="00A50EE2">
        <w:rPr>
          <w:rFonts w:cstheme="minorHAnsi"/>
          <w:szCs w:val="18"/>
        </w:rPr>
        <w:t xml:space="preserve"> On </w:t>
      </w:r>
      <w:r w:rsidR="002C0615" w:rsidRPr="00A50EE2">
        <w:rPr>
          <w:rFonts w:cstheme="minorHAnsi"/>
          <w:szCs w:val="18"/>
        </w:rPr>
        <w:t>n’</w:t>
      </w:r>
      <w:r w:rsidR="00BB668F" w:rsidRPr="00A50EE2">
        <w:rPr>
          <w:rFonts w:cstheme="minorHAnsi"/>
          <w:szCs w:val="18"/>
        </w:rPr>
        <w:t xml:space="preserve">a </w:t>
      </w:r>
      <w:r w:rsidR="002C0615" w:rsidRPr="00A50EE2">
        <w:rPr>
          <w:rFonts w:cstheme="minorHAnsi"/>
          <w:szCs w:val="18"/>
        </w:rPr>
        <w:t>rien prévu dans le contrat. D’</w:t>
      </w:r>
      <w:r w:rsidR="001F4121" w:rsidRPr="00A50EE2">
        <w:rPr>
          <w:rFonts w:cstheme="minorHAnsi"/>
          <w:szCs w:val="18"/>
        </w:rPr>
        <w:t>un commun acc</w:t>
      </w:r>
      <w:r w:rsidR="002C0615" w:rsidRPr="00A50EE2">
        <w:rPr>
          <w:rFonts w:cstheme="minorHAnsi"/>
          <w:szCs w:val="18"/>
        </w:rPr>
        <w:t>ord, on va vers l’arbitrage. Quand on a contracté, on n’a pas prévu de résolutions aux litiges.</w:t>
      </w:r>
      <w:r w:rsidR="005F365F" w:rsidRPr="00A50EE2">
        <w:rPr>
          <w:rFonts w:cstheme="minorHAnsi"/>
          <w:szCs w:val="18"/>
        </w:rPr>
        <w:t xml:space="preserve"> Dans le compromis, un litige survient, le tribunal peut être saisit et par la suite, les parties peuvent compromettre en pleine instance.</w:t>
      </w:r>
    </w:p>
    <w:p w:rsidR="001F4121" w:rsidRPr="00A50EE2" w:rsidRDefault="001F4121" w:rsidP="001F4121">
      <w:pPr>
        <w:pStyle w:val="NoSpacing"/>
        <w:tabs>
          <w:tab w:val="left" w:pos="6663"/>
        </w:tabs>
        <w:jc w:val="both"/>
        <w:rPr>
          <w:rFonts w:cstheme="minorHAnsi"/>
          <w:szCs w:val="18"/>
        </w:rPr>
      </w:pPr>
      <w:r w:rsidRPr="00A50EE2">
        <w:rPr>
          <w:rFonts w:cstheme="minorHAnsi"/>
          <w:szCs w:val="18"/>
        </w:rPr>
        <w:t>Cette justice privée est discrète et rapide. Les arbitres utilisent les mêmes textes et codes que la justice étatique.</w:t>
      </w:r>
      <w:r w:rsidR="000D61B4" w:rsidRPr="00A50EE2">
        <w:rPr>
          <w:rFonts w:cstheme="minorHAnsi"/>
          <w:szCs w:val="18"/>
        </w:rPr>
        <w:t xml:space="preserve"> Les arbitres peuvent juger en amiable composition, i.e. </w:t>
      </w:r>
      <w:r w:rsidR="007324A1" w:rsidRPr="00A50EE2">
        <w:rPr>
          <w:rFonts w:cstheme="minorHAnsi"/>
          <w:szCs w:val="18"/>
        </w:rPr>
        <w:t xml:space="preserve">on veut conserver les liens commerciaux. On va essayer de juger en équité. On va demander aux parties de faire des concessions. La sentence arbitrale est rendue à la majorité des arbitres. C’est une vraie juridiction, elle a l’autorité de la chose jugée. </w:t>
      </w:r>
      <w:r w:rsidR="00DD38B8" w:rsidRPr="00A50EE2">
        <w:rPr>
          <w:rFonts w:cstheme="minorHAnsi"/>
          <w:szCs w:val="18"/>
        </w:rPr>
        <w:t>Elle est normalement opposable à chacune des parties. Mais si les parties n’exécutent pas la sentence, l’autre n’a pas de coercition. Cette sentence est issue d’un contrat privé enter deux parties. Donc elle a la même valeur qu’une décision de justice mais la partie gagnante ne peut pas obliger l’autre à l’exécuter.</w:t>
      </w:r>
      <w:r w:rsidR="00287927" w:rsidRPr="00A50EE2">
        <w:rPr>
          <w:rFonts w:cstheme="minorHAnsi"/>
          <w:szCs w:val="18"/>
        </w:rPr>
        <w:t xml:space="preserve"> Même si elle a l’autorité de la chose jugée, elle ne possède pas la force exécutoire ; i.e. si l’un n’exécute pas ses obligations, il faut demander au tribunal une ordonnance d’</w:t>
      </w:r>
      <w:r w:rsidR="00B00D05" w:rsidRPr="00A50EE2">
        <w:rPr>
          <w:rFonts w:cstheme="minorHAnsi"/>
          <w:szCs w:val="18"/>
        </w:rPr>
        <w:t>exequatur (intervention d’un juge). C’est une décision étrangère que l’on demande à exécuter en France</w:t>
      </w:r>
    </w:p>
    <w:p w:rsidR="003313C6" w:rsidRPr="00A50EE2" w:rsidRDefault="003313C6" w:rsidP="00CC45A0">
      <w:pPr>
        <w:pStyle w:val="NoSpacing"/>
        <w:tabs>
          <w:tab w:val="left" w:pos="6663"/>
        </w:tabs>
        <w:jc w:val="both"/>
        <w:rPr>
          <w:rFonts w:cstheme="minorHAnsi"/>
          <w:szCs w:val="18"/>
        </w:rPr>
      </w:pPr>
    </w:p>
    <w:p w:rsidR="003313C6" w:rsidRPr="00A50EE2" w:rsidRDefault="0072024A" w:rsidP="00CC45A0">
      <w:pPr>
        <w:pStyle w:val="NoSpacing"/>
        <w:tabs>
          <w:tab w:val="left" w:pos="6663"/>
        </w:tabs>
        <w:jc w:val="both"/>
        <w:rPr>
          <w:rFonts w:cstheme="minorHAnsi"/>
          <w:szCs w:val="18"/>
        </w:rPr>
      </w:pPr>
      <w:r w:rsidRPr="00A50EE2">
        <w:rPr>
          <w:rFonts w:cstheme="minorHAnsi"/>
          <w:szCs w:val="18"/>
        </w:rPr>
        <w:t>La nature de ces deux procédures</w:t>
      </w:r>
      <w:r w:rsidR="00B00D05" w:rsidRPr="00A50EE2">
        <w:rPr>
          <w:rFonts w:cstheme="minorHAnsi"/>
          <w:szCs w:val="18"/>
        </w:rPr>
        <w:t>, qui sont des conventions,</w:t>
      </w:r>
      <w:r w:rsidRPr="00A50EE2">
        <w:rPr>
          <w:rFonts w:cstheme="minorHAnsi"/>
          <w:szCs w:val="18"/>
        </w:rPr>
        <w:t xml:space="preserve"> les distingue. La transaction est un mode conventionnel (caractère amiable, accord des deux parties) de règlement des litiges alors que l’arbitrage (consciencieux) est un mode </w:t>
      </w:r>
      <w:r w:rsidR="00D611F6" w:rsidRPr="00A50EE2">
        <w:rPr>
          <w:rFonts w:cstheme="minorHAnsi"/>
          <w:szCs w:val="18"/>
        </w:rPr>
        <w:t>juridictionnelle</w:t>
      </w:r>
      <w:r w:rsidRPr="00A50EE2">
        <w:rPr>
          <w:rFonts w:cstheme="minorHAnsi"/>
          <w:szCs w:val="18"/>
        </w:rPr>
        <w:t>.</w:t>
      </w:r>
    </w:p>
    <w:p w:rsidR="0080620F" w:rsidRPr="00A50EE2" w:rsidRDefault="0080620F" w:rsidP="00CC45A0">
      <w:pPr>
        <w:pStyle w:val="NoSpacing"/>
        <w:tabs>
          <w:tab w:val="left" w:pos="6663"/>
        </w:tabs>
        <w:jc w:val="both"/>
        <w:rPr>
          <w:rFonts w:cstheme="minorHAnsi"/>
          <w:szCs w:val="18"/>
        </w:rPr>
      </w:pPr>
    </w:p>
    <w:p w:rsidR="00AE6B5B" w:rsidRPr="00A50EE2" w:rsidRDefault="0080620F" w:rsidP="00AE6B5B">
      <w:pPr>
        <w:pStyle w:val="NoSpacing"/>
        <w:tabs>
          <w:tab w:val="left" w:pos="6663"/>
        </w:tabs>
        <w:jc w:val="both"/>
        <w:rPr>
          <w:rFonts w:cstheme="minorHAnsi"/>
          <w:szCs w:val="18"/>
        </w:rPr>
      </w:pPr>
      <w:r w:rsidRPr="00A50EE2">
        <w:rPr>
          <w:rFonts w:cstheme="minorHAnsi"/>
          <w:szCs w:val="18"/>
        </w:rPr>
        <w:t xml:space="preserve">Les principes d’UNIDROIT sont relatifs aux contrats du commerce international. </w:t>
      </w:r>
      <w:r w:rsidR="007E68EE" w:rsidRPr="00A50EE2">
        <w:rPr>
          <w:rFonts w:cstheme="minorHAnsi"/>
          <w:szCs w:val="18"/>
        </w:rPr>
        <w:t xml:space="preserve">C’est une organisation intergouvernementale. Son origine vient de la SDN (société des </w:t>
      </w:r>
      <w:r w:rsidR="00706F44" w:rsidRPr="00A50EE2">
        <w:rPr>
          <w:rFonts w:cstheme="minorHAnsi"/>
          <w:szCs w:val="18"/>
        </w:rPr>
        <w:t>nations</w:t>
      </w:r>
      <w:r w:rsidR="007E68EE" w:rsidRPr="00A50EE2">
        <w:rPr>
          <w:rFonts w:cstheme="minorHAnsi"/>
          <w:szCs w:val="18"/>
        </w:rPr>
        <w:t>).</w:t>
      </w:r>
      <w:r w:rsidR="0043147C" w:rsidRPr="00A50EE2">
        <w:rPr>
          <w:rFonts w:cstheme="minorHAnsi"/>
          <w:szCs w:val="18"/>
        </w:rPr>
        <w:t xml:space="preserve"> </w:t>
      </w:r>
      <w:r w:rsidR="00943746" w:rsidRPr="00A50EE2">
        <w:rPr>
          <w:rFonts w:cstheme="minorHAnsi"/>
          <w:szCs w:val="18"/>
        </w:rPr>
        <w:t>Là, ce sont les parties qui adhèrent à ces principes.</w:t>
      </w:r>
      <w:r w:rsidR="0091762E" w:rsidRPr="00A50EE2">
        <w:rPr>
          <w:rFonts w:cstheme="minorHAnsi"/>
          <w:szCs w:val="18"/>
        </w:rPr>
        <w:t xml:space="preserve"> Pas de valeur coercitive, pas de force dans l’exécution.</w:t>
      </w:r>
      <w:r w:rsidR="00943746" w:rsidRPr="00A50EE2">
        <w:rPr>
          <w:rFonts w:cstheme="minorHAnsi"/>
          <w:szCs w:val="18"/>
        </w:rPr>
        <w:t xml:space="preserve"> Cette codification régit le commerce international.</w:t>
      </w:r>
      <w:r w:rsidR="00AE6B5B" w:rsidRPr="00A50EE2">
        <w:rPr>
          <w:rFonts w:cstheme="minorHAnsi"/>
          <w:szCs w:val="18"/>
        </w:rPr>
        <w:br w:type="page"/>
      </w:r>
    </w:p>
    <w:p w:rsidR="0072024A" w:rsidRPr="00A50EE2" w:rsidRDefault="0072024A" w:rsidP="00CC6107">
      <w:pPr>
        <w:pStyle w:val="NoSpacing"/>
        <w:numPr>
          <w:ilvl w:val="0"/>
          <w:numId w:val="1"/>
        </w:numPr>
        <w:tabs>
          <w:tab w:val="left" w:pos="6663"/>
        </w:tabs>
        <w:jc w:val="both"/>
        <w:outlineLvl w:val="0"/>
        <w:rPr>
          <w:rFonts w:cstheme="minorHAnsi"/>
          <w:b/>
          <w:color w:val="00B050"/>
          <w:szCs w:val="18"/>
        </w:rPr>
      </w:pPr>
      <w:r w:rsidRPr="00A50EE2">
        <w:rPr>
          <w:rFonts w:cstheme="minorHAnsi"/>
          <w:b/>
          <w:color w:val="00B050"/>
          <w:szCs w:val="18"/>
        </w:rPr>
        <w:t>Cas pratiques</w:t>
      </w:r>
    </w:p>
    <w:p w:rsidR="0072024A" w:rsidRPr="00A50EE2" w:rsidRDefault="0072024A" w:rsidP="0072024A">
      <w:pPr>
        <w:pStyle w:val="NoSpacing"/>
        <w:tabs>
          <w:tab w:val="left" w:pos="6663"/>
        </w:tabs>
        <w:jc w:val="both"/>
        <w:rPr>
          <w:rFonts w:cstheme="minorHAnsi"/>
          <w:szCs w:val="18"/>
        </w:rPr>
      </w:pPr>
    </w:p>
    <w:p w:rsidR="004E63EA" w:rsidRPr="00A50EE2" w:rsidRDefault="004E63EA" w:rsidP="0072024A">
      <w:pPr>
        <w:pStyle w:val="NoSpacing"/>
        <w:tabs>
          <w:tab w:val="left" w:pos="6663"/>
        </w:tabs>
        <w:jc w:val="both"/>
        <w:rPr>
          <w:rFonts w:cstheme="minorHAnsi"/>
          <w:szCs w:val="18"/>
        </w:rPr>
      </w:pPr>
      <w:r w:rsidRPr="00A50EE2">
        <w:rPr>
          <w:rFonts w:cstheme="minorHAnsi"/>
          <w:szCs w:val="18"/>
        </w:rPr>
        <w:t>Cas n°1 :</w:t>
      </w:r>
    </w:p>
    <w:p w:rsidR="002C598C" w:rsidRPr="00A50EE2" w:rsidRDefault="002C598C" w:rsidP="0072024A">
      <w:pPr>
        <w:pStyle w:val="NoSpacing"/>
        <w:tabs>
          <w:tab w:val="left" w:pos="6663"/>
        </w:tabs>
        <w:jc w:val="both"/>
        <w:rPr>
          <w:rFonts w:cstheme="minorHAnsi"/>
          <w:szCs w:val="18"/>
        </w:rPr>
      </w:pPr>
    </w:p>
    <w:p w:rsidR="00093682" w:rsidRPr="00A50EE2" w:rsidRDefault="0072024A" w:rsidP="0072024A">
      <w:pPr>
        <w:pStyle w:val="NoSpacing"/>
        <w:tabs>
          <w:tab w:val="left" w:pos="6663"/>
        </w:tabs>
        <w:jc w:val="both"/>
        <w:rPr>
          <w:rFonts w:cstheme="minorHAnsi"/>
          <w:szCs w:val="18"/>
        </w:rPr>
      </w:pPr>
      <w:r w:rsidRPr="00A50EE2">
        <w:rPr>
          <w:rFonts w:cstheme="minorHAnsi"/>
          <w:szCs w:val="18"/>
        </w:rPr>
        <w:t xml:space="preserve">Mr Vista </w:t>
      </w:r>
      <w:r w:rsidR="00093682" w:rsidRPr="00A50EE2">
        <w:rPr>
          <w:rFonts w:cstheme="minorHAnsi"/>
          <w:szCs w:val="18"/>
        </w:rPr>
        <w:t>tient un commerce de distribution de matériel informatique</w:t>
      </w:r>
      <w:r w:rsidRPr="00A50EE2">
        <w:rPr>
          <w:rFonts w:cstheme="minorHAnsi"/>
          <w:szCs w:val="18"/>
        </w:rPr>
        <w:t xml:space="preserve"> et</w:t>
      </w:r>
      <w:r w:rsidR="00093682" w:rsidRPr="00A50EE2">
        <w:rPr>
          <w:rFonts w:cstheme="minorHAnsi"/>
          <w:szCs w:val="18"/>
        </w:rPr>
        <w:t xml:space="preserve"> il achète son stock à Mr Dell depuis des années.</w:t>
      </w:r>
      <w:r w:rsidR="00A750A1" w:rsidRPr="00A50EE2">
        <w:rPr>
          <w:rFonts w:cstheme="minorHAnsi"/>
          <w:szCs w:val="18"/>
        </w:rPr>
        <w:t xml:space="preserve"> Or, lors de la dernière commande, des ordinateurs présentaient des défauts physiques.</w:t>
      </w:r>
    </w:p>
    <w:p w:rsidR="00484DE0" w:rsidRPr="00A50EE2" w:rsidRDefault="00484DE0" w:rsidP="0072024A">
      <w:pPr>
        <w:pStyle w:val="NoSpacing"/>
        <w:tabs>
          <w:tab w:val="left" w:pos="6663"/>
        </w:tabs>
        <w:jc w:val="both"/>
        <w:rPr>
          <w:rFonts w:cstheme="minorHAnsi"/>
          <w:szCs w:val="18"/>
        </w:rPr>
      </w:pPr>
      <w:r w:rsidRPr="00A50EE2">
        <w:rPr>
          <w:rFonts w:cstheme="minorHAnsi"/>
          <w:szCs w:val="18"/>
        </w:rPr>
        <w:t>Mr Vista veut être remboursé mais Mr Dell refuse.</w:t>
      </w:r>
    </w:p>
    <w:p w:rsidR="00376979" w:rsidRPr="00A50EE2" w:rsidRDefault="00376979" w:rsidP="0072024A">
      <w:pPr>
        <w:pStyle w:val="NoSpacing"/>
        <w:tabs>
          <w:tab w:val="left" w:pos="6663"/>
        </w:tabs>
        <w:jc w:val="both"/>
        <w:rPr>
          <w:rFonts w:cstheme="minorHAnsi"/>
          <w:szCs w:val="18"/>
        </w:rPr>
      </w:pPr>
      <w:r w:rsidRPr="00A50EE2">
        <w:rPr>
          <w:rFonts w:cstheme="minorHAnsi"/>
          <w:szCs w:val="18"/>
        </w:rPr>
        <w:t>Le problème juridique porte sur l’usage général de commerce et sur les conditions d’opposabilité (de soumission)</w:t>
      </w:r>
      <w:r w:rsidR="006D6CE1" w:rsidRPr="00A50EE2">
        <w:rPr>
          <w:rFonts w:cstheme="minorHAnsi"/>
          <w:szCs w:val="18"/>
        </w:rPr>
        <w:t xml:space="preserve"> de cet usage ; i.e. un commerçant peut-il ignorer l’existence des usages pratiqués entre </w:t>
      </w:r>
      <w:r w:rsidR="00FF70AF" w:rsidRPr="00A50EE2">
        <w:rPr>
          <w:rFonts w:cstheme="minorHAnsi"/>
          <w:szCs w:val="18"/>
        </w:rPr>
        <w:t>professionnels</w:t>
      </w:r>
      <w:r w:rsidR="00C749C9" w:rsidRPr="00A50EE2">
        <w:rPr>
          <w:rFonts w:cstheme="minorHAnsi"/>
          <w:szCs w:val="18"/>
        </w:rPr>
        <w:t xml:space="preserve"> et l’autre, le contractant, doit-il rapporter la preuve de cet usage ?</w:t>
      </w:r>
    </w:p>
    <w:p w:rsidR="00C749C9" w:rsidRPr="00A50EE2" w:rsidRDefault="00C749C9" w:rsidP="0072024A">
      <w:pPr>
        <w:pStyle w:val="NoSpacing"/>
        <w:tabs>
          <w:tab w:val="left" w:pos="6663"/>
        </w:tabs>
        <w:jc w:val="both"/>
        <w:rPr>
          <w:rFonts w:cstheme="minorHAnsi"/>
          <w:szCs w:val="18"/>
        </w:rPr>
      </w:pPr>
      <w:r w:rsidRPr="00A50EE2">
        <w:rPr>
          <w:rFonts w:cstheme="minorHAnsi"/>
          <w:szCs w:val="18"/>
        </w:rPr>
        <w:t>Le principe veut que ce type d’usage soit applicable entre tous les commerçants sauf clauses contraires. Les deux contractants sont tous les deux commerçants français. Il n’existe pas de clauses contraires excluant cet usage ; i.e. cet usage professionnel est soumis aux deux parties donc à Mr Dell</w:t>
      </w:r>
      <w:r w:rsidR="00F0111D" w:rsidRPr="00A50EE2">
        <w:rPr>
          <w:rFonts w:cstheme="minorHAnsi"/>
          <w:szCs w:val="18"/>
        </w:rPr>
        <w:t xml:space="preserve"> en sa qualité de commerçant, il est sensé connaître les usages généraux de commerce. Mr Vista ne doit donc pas rapporter la preuve. En revanche, il doit l’invoquer s’il veut être indemnisé. Mr Dell ne peut ignorer les</w:t>
      </w:r>
      <w:r w:rsidR="004B35EB" w:rsidRPr="00A50EE2">
        <w:rPr>
          <w:rFonts w:cstheme="minorHAnsi"/>
          <w:szCs w:val="18"/>
        </w:rPr>
        <w:t xml:space="preserve"> usages comme il est commerçant</w:t>
      </w:r>
      <w:r w:rsidR="00F0111D" w:rsidRPr="00A50EE2">
        <w:rPr>
          <w:rFonts w:cstheme="minorHAnsi"/>
          <w:szCs w:val="18"/>
        </w:rPr>
        <w:t>.</w:t>
      </w:r>
      <w:r w:rsidR="004B35EB" w:rsidRPr="00A50EE2">
        <w:rPr>
          <w:rFonts w:cstheme="minorHAnsi"/>
          <w:szCs w:val="18"/>
        </w:rPr>
        <w:t xml:space="preserve"> Le raisonnement reste le même pour la Fédération de l’ouest des distributeurs et fabricants d’ordinateurs.</w:t>
      </w:r>
    </w:p>
    <w:p w:rsidR="002C598C" w:rsidRPr="00A50EE2" w:rsidRDefault="002C598C" w:rsidP="0072024A">
      <w:pPr>
        <w:pStyle w:val="NoSpacing"/>
        <w:tabs>
          <w:tab w:val="left" w:pos="6663"/>
        </w:tabs>
        <w:jc w:val="both"/>
        <w:rPr>
          <w:rFonts w:cstheme="minorHAnsi"/>
          <w:szCs w:val="18"/>
        </w:rPr>
      </w:pPr>
    </w:p>
    <w:p w:rsidR="002C598C" w:rsidRPr="00A50EE2" w:rsidRDefault="002C598C" w:rsidP="0072024A">
      <w:pPr>
        <w:pStyle w:val="NoSpacing"/>
        <w:tabs>
          <w:tab w:val="left" w:pos="6663"/>
        </w:tabs>
        <w:jc w:val="both"/>
        <w:rPr>
          <w:rFonts w:cstheme="minorHAnsi"/>
          <w:szCs w:val="18"/>
        </w:rPr>
      </w:pPr>
      <w:r w:rsidRPr="00A50EE2">
        <w:rPr>
          <w:rFonts w:cstheme="minorHAnsi"/>
          <w:szCs w:val="18"/>
        </w:rPr>
        <w:t>Cas n°2 :</w:t>
      </w:r>
    </w:p>
    <w:p w:rsidR="002C598C" w:rsidRPr="00A50EE2" w:rsidRDefault="002C598C" w:rsidP="0072024A">
      <w:pPr>
        <w:pStyle w:val="NoSpacing"/>
        <w:tabs>
          <w:tab w:val="left" w:pos="6663"/>
        </w:tabs>
        <w:jc w:val="both"/>
        <w:rPr>
          <w:rFonts w:cstheme="minorHAnsi"/>
          <w:szCs w:val="18"/>
        </w:rPr>
      </w:pPr>
    </w:p>
    <w:p w:rsidR="0095344B" w:rsidRPr="00A50EE2" w:rsidRDefault="0095344B" w:rsidP="0072024A">
      <w:pPr>
        <w:pStyle w:val="NoSpacing"/>
        <w:tabs>
          <w:tab w:val="left" w:pos="6663"/>
        </w:tabs>
        <w:jc w:val="both"/>
        <w:rPr>
          <w:rFonts w:cstheme="minorHAnsi"/>
          <w:szCs w:val="18"/>
        </w:rPr>
      </w:pPr>
      <w:r w:rsidRPr="00A50EE2">
        <w:rPr>
          <w:rFonts w:cstheme="minorHAnsi"/>
          <w:szCs w:val="18"/>
        </w:rPr>
        <w:t>Mr Calvin doit 10.000 €</w:t>
      </w:r>
      <w:r w:rsidR="001B0D30" w:rsidRPr="00A50EE2">
        <w:rPr>
          <w:rFonts w:cstheme="minorHAnsi"/>
          <w:szCs w:val="18"/>
        </w:rPr>
        <w:t xml:space="preserve"> à Mr Hobbes. Ce dernier a besoin de liquidité donc il va tirer une lettre de change</w:t>
      </w:r>
      <w:r w:rsidR="00813F03" w:rsidRPr="00A50EE2">
        <w:rPr>
          <w:rFonts w:cstheme="minorHAnsi"/>
          <w:szCs w:val="18"/>
        </w:rPr>
        <w:t>.</w:t>
      </w:r>
    </w:p>
    <w:p w:rsidR="0095344B" w:rsidRPr="00A50EE2" w:rsidRDefault="0095344B" w:rsidP="0072024A">
      <w:pPr>
        <w:pStyle w:val="NoSpacing"/>
        <w:tabs>
          <w:tab w:val="left" w:pos="6663"/>
        </w:tabs>
        <w:jc w:val="both"/>
        <w:rPr>
          <w:rFonts w:cstheme="minorHAnsi"/>
          <w:szCs w:val="18"/>
        </w:rPr>
      </w:pPr>
    </w:p>
    <w:p w:rsidR="00160328" w:rsidRPr="00A50EE2" w:rsidRDefault="001E6525" w:rsidP="0072024A">
      <w:pPr>
        <w:pStyle w:val="NoSpacing"/>
        <w:tabs>
          <w:tab w:val="left" w:pos="6663"/>
        </w:tabs>
        <w:jc w:val="both"/>
        <w:rPr>
          <w:rFonts w:cstheme="minorHAnsi"/>
          <w:szCs w:val="18"/>
        </w:rPr>
      </w:pPr>
      <w:r w:rsidRPr="00A50EE2">
        <w:rPr>
          <w:rFonts w:cstheme="minorHAnsi"/>
          <w:szCs w:val="18"/>
        </w:rPr>
        <w:t>La lettre de change est un effet de commerce. C’est un instrument de paiement, de crédit. Une personne que l’on appelle le tireur</w:t>
      </w:r>
      <w:r w:rsidR="003B5056" w:rsidRPr="00A50EE2">
        <w:rPr>
          <w:rFonts w:cstheme="minorHAnsi"/>
          <w:szCs w:val="18"/>
        </w:rPr>
        <w:t xml:space="preserve"> (créditeur)</w:t>
      </w:r>
      <w:r w:rsidRPr="00A50EE2">
        <w:rPr>
          <w:rFonts w:cstheme="minorHAnsi"/>
          <w:szCs w:val="18"/>
        </w:rPr>
        <w:t xml:space="preserve"> va donner l’ordre à une autre personne, appelée le tiré</w:t>
      </w:r>
      <w:r w:rsidR="003B5056" w:rsidRPr="00A50EE2">
        <w:rPr>
          <w:rFonts w:cstheme="minorHAnsi"/>
          <w:szCs w:val="18"/>
        </w:rPr>
        <w:t xml:space="preserve"> (débiteur)</w:t>
      </w:r>
      <w:r w:rsidRPr="00A50EE2">
        <w:rPr>
          <w:rFonts w:cstheme="minorHAnsi"/>
          <w:szCs w:val="18"/>
        </w:rPr>
        <w:t>, de payer cette lettre de change à une troisième personne, le bénéficiaire, tout en respectant un délai (échéance).</w:t>
      </w:r>
      <w:r w:rsidR="00F275A3" w:rsidRPr="00A50EE2">
        <w:rPr>
          <w:rFonts w:cstheme="minorHAnsi"/>
          <w:szCs w:val="18"/>
        </w:rPr>
        <w:t xml:space="preserve"> </w:t>
      </w:r>
      <w:r w:rsidR="00160328" w:rsidRPr="00A50EE2">
        <w:rPr>
          <w:rFonts w:cstheme="minorHAnsi"/>
          <w:szCs w:val="18"/>
        </w:rPr>
        <w:t>Ici, le tireur e</w:t>
      </w:r>
      <w:r w:rsidR="00864A58" w:rsidRPr="00A50EE2">
        <w:rPr>
          <w:rFonts w:cstheme="minorHAnsi"/>
          <w:szCs w:val="18"/>
        </w:rPr>
        <w:t>st Mr Hobbes, le tiré Mr Calvin et le bénéficiaire la banque.</w:t>
      </w:r>
    </w:p>
    <w:p w:rsidR="0068597E" w:rsidRPr="00A50EE2" w:rsidRDefault="00F275A3" w:rsidP="0068597E">
      <w:pPr>
        <w:pStyle w:val="NoSpacing"/>
        <w:tabs>
          <w:tab w:val="left" w:pos="6663"/>
        </w:tabs>
        <w:jc w:val="both"/>
        <w:rPr>
          <w:rFonts w:cstheme="minorHAnsi"/>
          <w:szCs w:val="18"/>
        </w:rPr>
      </w:pPr>
      <w:r w:rsidRPr="00A50EE2">
        <w:rPr>
          <w:rFonts w:cstheme="minorHAnsi"/>
          <w:szCs w:val="18"/>
        </w:rPr>
        <w:t xml:space="preserve">Tant que la lettre de change n’est pas payée, elle peut tourner. Maintenant, la lettre de change </w:t>
      </w:r>
      <w:r w:rsidR="00AF3367" w:rsidRPr="00A50EE2">
        <w:rPr>
          <w:rFonts w:cstheme="minorHAnsi"/>
          <w:szCs w:val="18"/>
        </w:rPr>
        <w:t>relevée (LCR) est électronique.</w:t>
      </w:r>
    </w:p>
    <w:p w:rsidR="00F275A3" w:rsidRPr="00A50EE2" w:rsidRDefault="00F275A3" w:rsidP="0072024A">
      <w:pPr>
        <w:pStyle w:val="NoSpacing"/>
        <w:tabs>
          <w:tab w:val="left" w:pos="6663"/>
        </w:tabs>
        <w:jc w:val="both"/>
        <w:rPr>
          <w:rFonts w:cstheme="minorHAnsi"/>
          <w:szCs w:val="18"/>
        </w:rPr>
      </w:pPr>
      <w:r w:rsidRPr="00A50EE2">
        <w:rPr>
          <w:rFonts w:cstheme="minorHAnsi"/>
          <w:szCs w:val="18"/>
        </w:rPr>
        <w:t xml:space="preserve">Il y a deux phases : une conventionnelle et une autre cambiaire. </w:t>
      </w:r>
    </w:p>
    <w:p w:rsidR="00767DE3" w:rsidRPr="00A50EE2" w:rsidRDefault="00767DE3" w:rsidP="00AA3384">
      <w:pPr>
        <w:pStyle w:val="NoSpacing"/>
        <w:tabs>
          <w:tab w:val="left" w:pos="6663"/>
        </w:tabs>
        <w:jc w:val="both"/>
        <w:rPr>
          <w:rFonts w:cstheme="minorHAnsi"/>
          <w:szCs w:val="18"/>
        </w:rPr>
      </w:pPr>
    </w:p>
    <w:p w:rsidR="0068597E" w:rsidRPr="00A50EE2" w:rsidRDefault="0068597E" w:rsidP="00CC6107">
      <w:pPr>
        <w:pStyle w:val="NoSpacing"/>
        <w:tabs>
          <w:tab w:val="left" w:pos="6663"/>
        </w:tabs>
        <w:jc w:val="both"/>
        <w:outlineLvl w:val="0"/>
        <w:rPr>
          <w:rFonts w:cstheme="minorHAnsi"/>
          <w:i/>
          <w:szCs w:val="18"/>
        </w:rPr>
      </w:pPr>
      <w:r w:rsidRPr="00A50EE2">
        <w:rPr>
          <w:rFonts w:cstheme="minorHAnsi"/>
          <w:i/>
          <w:szCs w:val="18"/>
        </w:rPr>
        <w:t>Phase contractuelle (tireur =&gt; tiré =&gt; bénéficiaire), relevant du droit des contrats.</w:t>
      </w:r>
    </w:p>
    <w:p w:rsidR="0068597E" w:rsidRPr="00A50EE2" w:rsidRDefault="0068597E" w:rsidP="00AA3384">
      <w:pPr>
        <w:pStyle w:val="NoSpacing"/>
        <w:tabs>
          <w:tab w:val="left" w:pos="6663"/>
        </w:tabs>
        <w:jc w:val="both"/>
        <w:rPr>
          <w:rFonts w:cstheme="minorHAnsi"/>
          <w:szCs w:val="18"/>
        </w:rPr>
      </w:pPr>
    </w:p>
    <w:p w:rsidR="00767DE3" w:rsidRPr="00A50EE2" w:rsidRDefault="00C56C23" w:rsidP="00C56C23">
      <w:pPr>
        <w:pStyle w:val="NoSpacing"/>
        <w:tabs>
          <w:tab w:val="left" w:pos="6663"/>
        </w:tabs>
        <w:jc w:val="center"/>
        <w:rPr>
          <w:rFonts w:cstheme="minorHAnsi"/>
          <w:szCs w:val="18"/>
        </w:rPr>
      </w:pPr>
      <w:r w:rsidRPr="00A50EE2">
        <w:rPr>
          <w:rFonts w:cstheme="minorHAnsi"/>
          <w:noProof/>
          <w:szCs w:val="18"/>
          <w:lang w:val="en-US"/>
        </w:rPr>
        <w:drawing>
          <wp:inline distT="0" distB="0" distL="0" distR="0">
            <wp:extent cx="3743325" cy="251460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742105" cy="2513781"/>
                    </a:xfrm>
                    <a:prstGeom prst="rect">
                      <a:avLst/>
                    </a:prstGeom>
                    <a:noFill/>
                    <a:ln w="9525">
                      <a:noFill/>
                      <a:miter lim="800000"/>
                      <a:headEnd/>
                      <a:tailEnd/>
                    </a:ln>
                  </pic:spPr>
                </pic:pic>
              </a:graphicData>
            </a:graphic>
          </wp:inline>
        </w:drawing>
      </w:r>
    </w:p>
    <w:p w:rsidR="00767DE3" w:rsidRPr="00A50EE2" w:rsidRDefault="00767DE3" w:rsidP="00AA3384">
      <w:pPr>
        <w:pStyle w:val="NoSpacing"/>
        <w:tabs>
          <w:tab w:val="left" w:pos="6663"/>
        </w:tabs>
        <w:jc w:val="both"/>
        <w:rPr>
          <w:rFonts w:cstheme="minorHAnsi"/>
          <w:szCs w:val="18"/>
        </w:rPr>
      </w:pPr>
    </w:p>
    <w:p w:rsidR="001942D8" w:rsidRPr="00A50EE2" w:rsidRDefault="00B85880" w:rsidP="00AA3384">
      <w:pPr>
        <w:pStyle w:val="NoSpacing"/>
        <w:tabs>
          <w:tab w:val="left" w:pos="6663"/>
        </w:tabs>
        <w:jc w:val="both"/>
        <w:rPr>
          <w:rFonts w:cstheme="minorHAnsi"/>
          <w:szCs w:val="18"/>
        </w:rPr>
      </w:pPr>
      <w:r w:rsidRPr="00A50EE2">
        <w:rPr>
          <w:rFonts w:cstheme="minorHAnsi"/>
          <w:szCs w:val="18"/>
        </w:rPr>
        <w:t xml:space="preserve">Attention, la lettre de change en droit est différente de celle comptable. </w:t>
      </w:r>
      <w:r w:rsidR="006B6B9E" w:rsidRPr="00A50EE2">
        <w:rPr>
          <w:rFonts w:cstheme="minorHAnsi"/>
          <w:szCs w:val="18"/>
        </w:rPr>
        <w:t>Il y a trois liens :</w:t>
      </w:r>
    </w:p>
    <w:p w:rsidR="006B6B9E" w:rsidRPr="00A50EE2" w:rsidRDefault="006B6B9E" w:rsidP="006B6B9E">
      <w:pPr>
        <w:pStyle w:val="NoSpacing"/>
        <w:numPr>
          <w:ilvl w:val="0"/>
          <w:numId w:val="3"/>
        </w:numPr>
        <w:tabs>
          <w:tab w:val="left" w:pos="6663"/>
        </w:tabs>
        <w:jc w:val="both"/>
        <w:rPr>
          <w:rFonts w:cstheme="minorHAnsi"/>
          <w:szCs w:val="18"/>
        </w:rPr>
      </w:pPr>
      <w:r w:rsidRPr="00A50EE2">
        <w:rPr>
          <w:rFonts w:cstheme="minorHAnsi"/>
          <w:szCs w:val="18"/>
        </w:rPr>
        <w:t>La prévision</w:t>
      </w:r>
      <w:r w:rsidR="00C56C23" w:rsidRPr="00A50EE2">
        <w:rPr>
          <w:rFonts w:cstheme="minorHAnsi"/>
          <w:szCs w:val="18"/>
        </w:rPr>
        <w:t xml:space="preserve"> (1)</w:t>
      </w:r>
      <w:r w:rsidRPr="00A50EE2">
        <w:rPr>
          <w:rFonts w:cstheme="minorHAnsi"/>
          <w:szCs w:val="18"/>
        </w:rPr>
        <w:t> :</w:t>
      </w:r>
      <w:r w:rsidR="007302C4" w:rsidRPr="00A50EE2">
        <w:rPr>
          <w:rFonts w:cstheme="minorHAnsi"/>
          <w:szCs w:val="18"/>
        </w:rPr>
        <w:t xml:space="preserve"> c’est ce qui est entre le créancier et le débiteur. C’est la créance (égale au montant de la lettre) du tireur sur le tiré. Cette créance doit toujours être une somme d’argent.</w:t>
      </w:r>
    </w:p>
    <w:p w:rsidR="006B6B9E" w:rsidRPr="00A50EE2" w:rsidRDefault="006B6B9E" w:rsidP="006B6B9E">
      <w:pPr>
        <w:pStyle w:val="NoSpacing"/>
        <w:numPr>
          <w:ilvl w:val="0"/>
          <w:numId w:val="3"/>
        </w:numPr>
        <w:tabs>
          <w:tab w:val="left" w:pos="6663"/>
        </w:tabs>
        <w:jc w:val="both"/>
        <w:rPr>
          <w:rFonts w:cstheme="minorHAnsi"/>
          <w:szCs w:val="18"/>
        </w:rPr>
      </w:pPr>
      <w:r w:rsidRPr="00A50EE2">
        <w:rPr>
          <w:rFonts w:cstheme="minorHAnsi"/>
          <w:szCs w:val="18"/>
        </w:rPr>
        <w:t>La valeur fournie</w:t>
      </w:r>
      <w:r w:rsidR="00C56C23" w:rsidRPr="00A50EE2">
        <w:rPr>
          <w:rFonts w:cstheme="minorHAnsi"/>
          <w:szCs w:val="18"/>
        </w:rPr>
        <w:t xml:space="preserve"> (2)</w:t>
      </w:r>
      <w:r w:rsidR="00334E02" w:rsidRPr="00A50EE2">
        <w:rPr>
          <w:rFonts w:cstheme="minorHAnsi"/>
          <w:szCs w:val="18"/>
        </w:rPr>
        <w:t> : elle indique la nature de la créance du bénéficiaire sur le tireur justifiant la création de la lettre à son profit. La valeur fournie peut être en marchandise, en espèce ou en services.</w:t>
      </w:r>
    </w:p>
    <w:p w:rsidR="006B6B9E" w:rsidRPr="00A50EE2" w:rsidRDefault="006B6B9E" w:rsidP="006B6B9E">
      <w:pPr>
        <w:pStyle w:val="NoSpacing"/>
        <w:numPr>
          <w:ilvl w:val="0"/>
          <w:numId w:val="3"/>
        </w:numPr>
        <w:tabs>
          <w:tab w:val="left" w:pos="6663"/>
        </w:tabs>
        <w:jc w:val="both"/>
        <w:rPr>
          <w:rFonts w:cstheme="minorHAnsi"/>
          <w:szCs w:val="18"/>
        </w:rPr>
      </w:pPr>
      <w:r w:rsidRPr="00A50EE2">
        <w:rPr>
          <w:rFonts w:cstheme="minorHAnsi"/>
          <w:szCs w:val="18"/>
        </w:rPr>
        <w:t>L’acceptation</w:t>
      </w:r>
      <w:r w:rsidR="00C56C23" w:rsidRPr="00A50EE2">
        <w:rPr>
          <w:rFonts w:cstheme="minorHAnsi"/>
          <w:szCs w:val="18"/>
        </w:rPr>
        <w:t xml:space="preserve"> (3)</w:t>
      </w:r>
      <w:r w:rsidR="0073598B" w:rsidRPr="00A50EE2">
        <w:rPr>
          <w:rFonts w:cstheme="minorHAnsi"/>
          <w:szCs w:val="18"/>
        </w:rPr>
        <w:t> : c’est la signature de la lettre par le tiré, entrainant l’engagement de sa part à payer le bénéficiaire à l’échéance prévue.</w:t>
      </w:r>
      <w:r w:rsidR="00F66AD6" w:rsidRPr="00A50EE2">
        <w:rPr>
          <w:rFonts w:cstheme="minorHAnsi"/>
          <w:szCs w:val="18"/>
        </w:rPr>
        <w:t xml:space="preserve"> Tant qu’il n’a pas signé, Calvin n’est pas obligé envers la banque.</w:t>
      </w:r>
    </w:p>
    <w:p w:rsidR="00767DE3" w:rsidRPr="00A50EE2" w:rsidRDefault="00767DE3" w:rsidP="00AA3384">
      <w:pPr>
        <w:pStyle w:val="NoSpacing"/>
        <w:tabs>
          <w:tab w:val="left" w:pos="6663"/>
        </w:tabs>
        <w:jc w:val="both"/>
        <w:rPr>
          <w:rFonts w:cstheme="minorHAnsi"/>
          <w:szCs w:val="18"/>
        </w:rPr>
      </w:pPr>
    </w:p>
    <w:p w:rsidR="006D3622" w:rsidRPr="00A50EE2" w:rsidRDefault="006D3622" w:rsidP="00CC6107">
      <w:pPr>
        <w:pStyle w:val="NoSpacing"/>
        <w:tabs>
          <w:tab w:val="left" w:pos="6663"/>
        </w:tabs>
        <w:jc w:val="both"/>
        <w:outlineLvl w:val="0"/>
        <w:rPr>
          <w:rFonts w:cstheme="minorHAnsi"/>
          <w:i/>
          <w:szCs w:val="18"/>
        </w:rPr>
      </w:pPr>
      <w:r w:rsidRPr="00A50EE2">
        <w:rPr>
          <w:rFonts w:cstheme="minorHAnsi"/>
          <w:i/>
          <w:szCs w:val="18"/>
        </w:rPr>
        <w:t>Phase cambiaire (bénéficiaire =&gt; D =&gt; E), relevant du droit de change.</w:t>
      </w:r>
    </w:p>
    <w:p w:rsidR="006D3622" w:rsidRPr="00A50EE2" w:rsidRDefault="006D3622" w:rsidP="00AA3384">
      <w:pPr>
        <w:pStyle w:val="NoSpacing"/>
        <w:tabs>
          <w:tab w:val="left" w:pos="6663"/>
        </w:tabs>
        <w:jc w:val="both"/>
        <w:rPr>
          <w:rFonts w:cstheme="minorHAnsi"/>
          <w:szCs w:val="18"/>
        </w:rPr>
      </w:pPr>
    </w:p>
    <w:p w:rsidR="00B519A1" w:rsidRPr="00A50EE2" w:rsidRDefault="00B519A1" w:rsidP="00B519A1">
      <w:pPr>
        <w:pStyle w:val="NoSpacing"/>
        <w:tabs>
          <w:tab w:val="left" w:pos="6663"/>
        </w:tabs>
        <w:jc w:val="center"/>
        <w:rPr>
          <w:rFonts w:cstheme="minorHAnsi"/>
          <w:szCs w:val="18"/>
        </w:rPr>
      </w:pPr>
      <w:r w:rsidRPr="00A50EE2">
        <w:rPr>
          <w:rFonts w:cstheme="minorHAnsi"/>
          <w:noProof/>
          <w:szCs w:val="18"/>
          <w:lang w:val="en-US"/>
        </w:rPr>
        <w:drawing>
          <wp:inline distT="0" distB="0" distL="0" distR="0">
            <wp:extent cx="5637333" cy="2520000"/>
            <wp:effectExtent l="19050" t="0" r="1467"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37333" cy="2520000"/>
                    </a:xfrm>
                    <a:prstGeom prst="rect">
                      <a:avLst/>
                    </a:prstGeom>
                    <a:noFill/>
                    <a:ln w="9525">
                      <a:noFill/>
                      <a:miter lim="800000"/>
                      <a:headEnd/>
                      <a:tailEnd/>
                    </a:ln>
                  </pic:spPr>
                </pic:pic>
              </a:graphicData>
            </a:graphic>
          </wp:inline>
        </w:drawing>
      </w:r>
    </w:p>
    <w:p w:rsidR="00B519A1" w:rsidRPr="00A50EE2" w:rsidRDefault="00B519A1" w:rsidP="00AA3384">
      <w:pPr>
        <w:pStyle w:val="NoSpacing"/>
        <w:tabs>
          <w:tab w:val="left" w:pos="6663"/>
        </w:tabs>
        <w:jc w:val="both"/>
        <w:rPr>
          <w:rFonts w:cstheme="minorHAnsi"/>
          <w:szCs w:val="18"/>
        </w:rPr>
      </w:pPr>
    </w:p>
    <w:p w:rsidR="0002362F" w:rsidRPr="00A50EE2" w:rsidRDefault="00C075A5" w:rsidP="00AA3384">
      <w:pPr>
        <w:pStyle w:val="NoSpacing"/>
        <w:tabs>
          <w:tab w:val="left" w:pos="6663"/>
        </w:tabs>
        <w:jc w:val="both"/>
        <w:rPr>
          <w:rFonts w:cstheme="minorHAnsi"/>
          <w:szCs w:val="18"/>
        </w:rPr>
      </w:pPr>
      <w:r w:rsidRPr="00A50EE2">
        <w:rPr>
          <w:rFonts w:cstheme="minorHAnsi"/>
          <w:szCs w:val="18"/>
        </w:rPr>
        <w:t>La particularité de la lettre de change, c’est qu’elle concerne les actes commerciaux entre toutes les personnes (qu’on soit commerçant ou non).</w:t>
      </w:r>
      <w:r w:rsidR="00642386" w:rsidRPr="00A50EE2">
        <w:rPr>
          <w:rFonts w:cstheme="minorHAnsi"/>
          <w:szCs w:val="18"/>
        </w:rPr>
        <w:t xml:space="preserve"> C’est toujours du ressort du tribunal comme</w:t>
      </w:r>
      <w:r w:rsidR="00FF3382" w:rsidRPr="00A50EE2">
        <w:rPr>
          <w:rFonts w:cstheme="minorHAnsi"/>
          <w:szCs w:val="18"/>
        </w:rPr>
        <w:t>rcial (même pour un acte civil) ; et ce, peu importe que la créance soit civile ou commerciale.</w:t>
      </w:r>
      <w:r w:rsidR="00DF2D5F" w:rsidRPr="00A50EE2">
        <w:rPr>
          <w:rFonts w:cstheme="minorHAnsi"/>
          <w:szCs w:val="18"/>
        </w:rPr>
        <w:t xml:space="preserve"> Il faut respecter certaines formalités (stipulée sans frais, sans protêt) :</w:t>
      </w:r>
    </w:p>
    <w:p w:rsidR="00DF2D5F" w:rsidRPr="00A50EE2" w:rsidRDefault="00A02273" w:rsidP="00DF2D5F">
      <w:pPr>
        <w:pStyle w:val="NoSpacing"/>
        <w:numPr>
          <w:ilvl w:val="0"/>
          <w:numId w:val="3"/>
        </w:numPr>
        <w:tabs>
          <w:tab w:val="left" w:pos="6663"/>
        </w:tabs>
        <w:jc w:val="both"/>
        <w:rPr>
          <w:rFonts w:cstheme="minorHAnsi"/>
          <w:szCs w:val="18"/>
        </w:rPr>
      </w:pPr>
      <w:r w:rsidRPr="00A50EE2">
        <w:rPr>
          <w:rFonts w:cstheme="minorHAnsi"/>
          <w:szCs w:val="18"/>
        </w:rPr>
        <w:t>Date de création de la lettre.</w:t>
      </w:r>
    </w:p>
    <w:p w:rsidR="00A02273" w:rsidRPr="00A50EE2" w:rsidRDefault="00A02273" w:rsidP="00DF2D5F">
      <w:pPr>
        <w:pStyle w:val="NoSpacing"/>
        <w:numPr>
          <w:ilvl w:val="0"/>
          <w:numId w:val="3"/>
        </w:numPr>
        <w:tabs>
          <w:tab w:val="left" w:pos="6663"/>
        </w:tabs>
        <w:jc w:val="both"/>
        <w:rPr>
          <w:rFonts w:cstheme="minorHAnsi"/>
          <w:szCs w:val="18"/>
        </w:rPr>
      </w:pPr>
      <w:r w:rsidRPr="00A50EE2">
        <w:rPr>
          <w:rFonts w:cstheme="minorHAnsi"/>
          <w:szCs w:val="18"/>
        </w:rPr>
        <w:t>Date d’échéance de paiement.</w:t>
      </w:r>
    </w:p>
    <w:p w:rsidR="00A02273" w:rsidRPr="00A50EE2" w:rsidRDefault="00AF3367" w:rsidP="00DF2D5F">
      <w:pPr>
        <w:pStyle w:val="NoSpacing"/>
        <w:numPr>
          <w:ilvl w:val="0"/>
          <w:numId w:val="3"/>
        </w:numPr>
        <w:tabs>
          <w:tab w:val="left" w:pos="6663"/>
        </w:tabs>
        <w:jc w:val="both"/>
        <w:rPr>
          <w:rFonts w:cstheme="minorHAnsi"/>
          <w:szCs w:val="18"/>
        </w:rPr>
      </w:pPr>
      <w:r w:rsidRPr="00A50EE2">
        <w:rPr>
          <w:rFonts w:cstheme="minorHAnsi"/>
          <w:szCs w:val="18"/>
        </w:rPr>
        <w:t>Montant de la créance.</w:t>
      </w:r>
    </w:p>
    <w:p w:rsidR="00AF3367" w:rsidRPr="00A50EE2" w:rsidRDefault="00AF3367" w:rsidP="00DF2D5F">
      <w:pPr>
        <w:pStyle w:val="NoSpacing"/>
        <w:numPr>
          <w:ilvl w:val="0"/>
          <w:numId w:val="3"/>
        </w:numPr>
        <w:tabs>
          <w:tab w:val="left" w:pos="6663"/>
        </w:tabs>
        <w:jc w:val="both"/>
        <w:rPr>
          <w:rFonts w:cstheme="minorHAnsi"/>
          <w:szCs w:val="18"/>
        </w:rPr>
      </w:pPr>
      <w:r w:rsidRPr="00A50EE2">
        <w:rPr>
          <w:rFonts w:cstheme="minorHAnsi"/>
          <w:szCs w:val="18"/>
        </w:rPr>
        <w:t>RIB du tiré car c’est lui qui va payer la lettre.</w:t>
      </w:r>
    </w:p>
    <w:p w:rsidR="00AF3367" w:rsidRPr="00A50EE2" w:rsidRDefault="00AF3367" w:rsidP="00DF2D5F">
      <w:pPr>
        <w:pStyle w:val="NoSpacing"/>
        <w:numPr>
          <w:ilvl w:val="0"/>
          <w:numId w:val="3"/>
        </w:numPr>
        <w:tabs>
          <w:tab w:val="left" w:pos="6663"/>
        </w:tabs>
        <w:jc w:val="both"/>
        <w:rPr>
          <w:rFonts w:cstheme="minorHAnsi"/>
          <w:szCs w:val="18"/>
        </w:rPr>
      </w:pPr>
      <w:r w:rsidRPr="00A50EE2">
        <w:rPr>
          <w:rFonts w:cstheme="minorHAnsi"/>
          <w:szCs w:val="18"/>
        </w:rPr>
        <w:t>Domiciliation bancaire.</w:t>
      </w:r>
    </w:p>
    <w:p w:rsidR="00AF3367" w:rsidRPr="00A50EE2" w:rsidRDefault="00AF3367" w:rsidP="00DF2D5F">
      <w:pPr>
        <w:pStyle w:val="NoSpacing"/>
        <w:numPr>
          <w:ilvl w:val="0"/>
          <w:numId w:val="3"/>
        </w:numPr>
        <w:tabs>
          <w:tab w:val="left" w:pos="6663"/>
        </w:tabs>
        <w:jc w:val="both"/>
        <w:rPr>
          <w:rFonts w:cstheme="minorHAnsi"/>
          <w:szCs w:val="18"/>
        </w:rPr>
      </w:pPr>
      <w:r w:rsidRPr="00A50EE2">
        <w:rPr>
          <w:rFonts w:cstheme="minorHAnsi"/>
          <w:szCs w:val="18"/>
        </w:rPr>
        <w:t>Signature du tireur.</w:t>
      </w:r>
    </w:p>
    <w:p w:rsidR="00AF3367" w:rsidRPr="00A50EE2" w:rsidRDefault="00AF3367" w:rsidP="00DF2D5F">
      <w:pPr>
        <w:pStyle w:val="NoSpacing"/>
        <w:numPr>
          <w:ilvl w:val="0"/>
          <w:numId w:val="3"/>
        </w:numPr>
        <w:tabs>
          <w:tab w:val="left" w:pos="6663"/>
        </w:tabs>
        <w:jc w:val="both"/>
        <w:rPr>
          <w:rFonts w:cstheme="minorHAnsi"/>
          <w:szCs w:val="18"/>
        </w:rPr>
      </w:pPr>
      <w:r w:rsidRPr="00A50EE2">
        <w:rPr>
          <w:rFonts w:cstheme="minorHAnsi"/>
          <w:szCs w:val="18"/>
        </w:rPr>
        <w:t>Acceptation du tiré.</w:t>
      </w:r>
    </w:p>
    <w:p w:rsidR="00AF3367" w:rsidRPr="00A50EE2" w:rsidRDefault="00AF3367" w:rsidP="00AF3367">
      <w:pPr>
        <w:pStyle w:val="NoSpacing"/>
        <w:tabs>
          <w:tab w:val="left" w:pos="6663"/>
        </w:tabs>
        <w:jc w:val="both"/>
        <w:rPr>
          <w:rFonts w:cstheme="minorHAnsi"/>
          <w:szCs w:val="18"/>
        </w:rPr>
      </w:pPr>
      <w:r w:rsidRPr="00A50EE2">
        <w:rPr>
          <w:rFonts w:cstheme="minorHAnsi"/>
          <w:szCs w:val="18"/>
        </w:rPr>
        <w:t>Nb : la lettre de change n’est pas valable dans la fonction publique.</w:t>
      </w:r>
    </w:p>
    <w:p w:rsidR="00AF3367" w:rsidRPr="00A50EE2" w:rsidRDefault="00AF3367" w:rsidP="00AF3367">
      <w:pPr>
        <w:pStyle w:val="NoSpacing"/>
        <w:tabs>
          <w:tab w:val="left" w:pos="6663"/>
        </w:tabs>
        <w:jc w:val="both"/>
        <w:rPr>
          <w:rFonts w:cstheme="minorHAnsi"/>
          <w:szCs w:val="18"/>
        </w:rPr>
      </w:pPr>
    </w:p>
    <w:p w:rsidR="00AF3367" w:rsidRPr="00A50EE2" w:rsidRDefault="00AF3367" w:rsidP="00AF3367">
      <w:pPr>
        <w:pStyle w:val="NoSpacing"/>
        <w:tabs>
          <w:tab w:val="left" w:pos="6663"/>
        </w:tabs>
        <w:jc w:val="both"/>
        <w:rPr>
          <w:rFonts w:cstheme="minorHAnsi"/>
          <w:szCs w:val="18"/>
        </w:rPr>
      </w:pPr>
      <w:r w:rsidRPr="00A50EE2">
        <w:rPr>
          <w:rFonts w:cstheme="minorHAnsi"/>
          <w:szCs w:val="18"/>
        </w:rPr>
        <w:t>Ici, le montant de la lettre de change est de 10.000€. Ensuite, Mr Hobbes touchera l’argent de la banque et Calvin devra payer la banque à échéance.</w:t>
      </w:r>
    </w:p>
    <w:p w:rsidR="0002362F" w:rsidRPr="00A50EE2" w:rsidRDefault="0002362F" w:rsidP="00AA3384">
      <w:pPr>
        <w:pStyle w:val="NoSpacing"/>
        <w:tabs>
          <w:tab w:val="left" w:pos="6663"/>
        </w:tabs>
        <w:jc w:val="both"/>
        <w:rPr>
          <w:rFonts w:cstheme="minorHAnsi"/>
          <w:szCs w:val="18"/>
        </w:rPr>
      </w:pPr>
    </w:p>
    <w:p w:rsidR="00767DE3" w:rsidRPr="00A50EE2" w:rsidRDefault="00767DE3" w:rsidP="00CC6107">
      <w:pPr>
        <w:pStyle w:val="NoSpacing"/>
        <w:numPr>
          <w:ilvl w:val="0"/>
          <w:numId w:val="1"/>
        </w:numPr>
        <w:tabs>
          <w:tab w:val="left" w:pos="6663"/>
        </w:tabs>
        <w:jc w:val="both"/>
        <w:outlineLvl w:val="0"/>
        <w:rPr>
          <w:rFonts w:cstheme="minorHAnsi"/>
          <w:b/>
          <w:color w:val="00B050"/>
          <w:szCs w:val="18"/>
        </w:rPr>
      </w:pPr>
      <w:r w:rsidRPr="00A50EE2">
        <w:rPr>
          <w:rFonts w:cstheme="minorHAnsi"/>
          <w:b/>
          <w:color w:val="00B050"/>
          <w:szCs w:val="18"/>
        </w:rPr>
        <w:t>Jurisprudence</w:t>
      </w:r>
    </w:p>
    <w:p w:rsidR="00767DE3" w:rsidRPr="00A50EE2" w:rsidRDefault="00767DE3" w:rsidP="00767DE3">
      <w:pPr>
        <w:pStyle w:val="NoSpacing"/>
        <w:tabs>
          <w:tab w:val="left" w:pos="6663"/>
        </w:tabs>
        <w:jc w:val="both"/>
        <w:rPr>
          <w:rFonts w:cstheme="minorHAnsi"/>
          <w:szCs w:val="18"/>
        </w:rPr>
      </w:pPr>
    </w:p>
    <w:p w:rsidR="00AF3667" w:rsidRPr="00A50EE2" w:rsidRDefault="00AF3667" w:rsidP="00767DE3">
      <w:pPr>
        <w:pStyle w:val="NoSpacing"/>
        <w:tabs>
          <w:tab w:val="left" w:pos="6663"/>
        </w:tabs>
        <w:jc w:val="both"/>
        <w:rPr>
          <w:rFonts w:cstheme="minorHAnsi"/>
          <w:szCs w:val="18"/>
        </w:rPr>
      </w:pPr>
      <w:r w:rsidRPr="00A50EE2">
        <w:rPr>
          <w:rFonts w:cstheme="minorHAnsi"/>
          <w:szCs w:val="18"/>
        </w:rPr>
        <w:t>Rappel</w:t>
      </w:r>
      <w:r w:rsidR="001512A1" w:rsidRPr="00A50EE2">
        <w:rPr>
          <w:rFonts w:cstheme="minorHAnsi"/>
          <w:szCs w:val="18"/>
        </w:rPr>
        <w:t>s</w:t>
      </w:r>
      <w:r w:rsidRPr="00A50EE2">
        <w:rPr>
          <w:rFonts w:cstheme="minorHAnsi"/>
          <w:szCs w:val="18"/>
        </w:rPr>
        <w:t> :</w:t>
      </w:r>
    </w:p>
    <w:p w:rsidR="00AF3667" w:rsidRPr="00A50EE2" w:rsidRDefault="00F30F23" w:rsidP="00767DE3">
      <w:pPr>
        <w:pStyle w:val="NoSpacing"/>
        <w:tabs>
          <w:tab w:val="left" w:pos="6663"/>
        </w:tabs>
        <w:jc w:val="both"/>
        <w:rPr>
          <w:rFonts w:cstheme="minorHAnsi"/>
          <w:szCs w:val="18"/>
        </w:rPr>
      </w:pPr>
      <w:r w:rsidRPr="00A50EE2">
        <w:rPr>
          <w:rFonts w:cstheme="minorHAnsi"/>
          <w:szCs w:val="18"/>
        </w:rPr>
        <w:t>Interjeter appel.</w:t>
      </w:r>
    </w:p>
    <w:p w:rsidR="00F30F23" w:rsidRPr="00A50EE2" w:rsidRDefault="00F30F23" w:rsidP="00767DE3">
      <w:pPr>
        <w:pStyle w:val="NoSpacing"/>
        <w:tabs>
          <w:tab w:val="left" w:pos="6663"/>
        </w:tabs>
        <w:jc w:val="both"/>
        <w:rPr>
          <w:rFonts w:cstheme="minorHAnsi"/>
          <w:szCs w:val="18"/>
        </w:rPr>
      </w:pPr>
      <w:r w:rsidRPr="00A50EE2">
        <w:rPr>
          <w:rFonts w:cstheme="minorHAnsi"/>
          <w:szCs w:val="18"/>
        </w:rPr>
        <w:t>Pourvoi en cassation (Cour de cassation qui ne juge qu’en droit). Il y a deux possibilités :</w:t>
      </w:r>
    </w:p>
    <w:p w:rsidR="004F5AB2" w:rsidRPr="00A50EE2" w:rsidRDefault="004F5AB2" w:rsidP="004F5AB2">
      <w:pPr>
        <w:pStyle w:val="NoSpacing"/>
        <w:numPr>
          <w:ilvl w:val="0"/>
          <w:numId w:val="3"/>
        </w:numPr>
        <w:tabs>
          <w:tab w:val="left" w:pos="6663"/>
        </w:tabs>
        <w:jc w:val="both"/>
        <w:rPr>
          <w:rFonts w:cstheme="minorHAnsi"/>
          <w:szCs w:val="18"/>
        </w:rPr>
      </w:pPr>
      <w:r w:rsidRPr="00A50EE2">
        <w:rPr>
          <w:rFonts w:cstheme="minorHAnsi"/>
          <w:szCs w:val="18"/>
        </w:rPr>
        <w:t>Soit la cour d’appel a bien dit le droit =&gt; rejet du pourvoi.</w:t>
      </w:r>
    </w:p>
    <w:p w:rsidR="004F5AB2" w:rsidRPr="00A50EE2" w:rsidRDefault="004F5AB2" w:rsidP="004F5AB2">
      <w:pPr>
        <w:pStyle w:val="NoSpacing"/>
        <w:numPr>
          <w:ilvl w:val="0"/>
          <w:numId w:val="3"/>
        </w:numPr>
        <w:tabs>
          <w:tab w:val="left" w:pos="6663"/>
        </w:tabs>
        <w:jc w:val="both"/>
        <w:rPr>
          <w:rFonts w:cstheme="minorHAnsi"/>
          <w:szCs w:val="18"/>
        </w:rPr>
      </w:pPr>
      <w:r w:rsidRPr="00A50EE2">
        <w:rPr>
          <w:rFonts w:cstheme="minorHAnsi"/>
          <w:szCs w:val="18"/>
        </w:rPr>
        <w:t>Soit elle ne l’</w:t>
      </w:r>
      <w:r w:rsidR="00EC1257" w:rsidRPr="00A50EE2">
        <w:rPr>
          <w:rFonts w:cstheme="minorHAnsi"/>
          <w:szCs w:val="18"/>
        </w:rPr>
        <w:t>a pas bien dit donc l’arrêt est cassé et annulé.</w:t>
      </w:r>
      <w:r w:rsidR="002933A9" w:rsidRPr="00A50EE2">
        <w:rPr>
          <w:rFonts w:cstheme="minorHAnsi"/>
          <w:szCs w:val="18"/>
        </w:rPr>
        <w:t xml:space="preserve"> L’affaire est ensuite renvoyée devant une autre cour d’appel.</w:t>
      </w:r>
    </w:p>
    <w:p w:rsidR="002933A9" w:rsidRPr="00A50EE2" w:rsidRDefault="004422D5" w:rsidP="004422D5">
      <w:pPr>
        <w:pStyle w:val="NoSpacing"/>
        <w:tabs>
          <w:tab w:val="left" w:pos="6663"/>
        </w:tabs>
        <w:jc w:val="both"/>
        <w:rPr>
          <w:rFonts w:cstheme="minorHAnsi"/>
          <w:szCs w:val="18"/>
        </w:rPr>
      </w:pPr>
      <w:r w:rsidRPr="00A50EE2">
        <w:rPr>
          <w:rFonts w:cstheme="minorHAnsi"/>
          <w:szCs w:val="18"/>
        </w:rPr>
        <w:t>N</w:t>
      </w:r>
      <w:r w:rsidR="002933A9" w:rsidRPr="00A50EE2">
        <w:rPr>
          <w:rFonts w:cstheme="minorHAnsi"/>
          <w:szCs w:val="18"/>
        </w:rPr>
        <w:t>b : parfois, l’arrêt peut être cassé partiellement.</w:t>
      </w:r>
    </w:p>
    <w:p w:rsidR="00AF3667" w:rsidRPr="00A50EE2" w:rsidRDefault="00AF3667" w:rsidP="00767DE3">
      <w:pPr>
        <w:pStyle w:val="NoSpacing"/>
        <w:tabs>
          <w:tab w:val="left" w:pos="6663"/>
        </w:tabs>
        <w:jc w:val="both"/>
        <w:rPr>
          <w:rFonts w:cstheme="minorHAnsi"/>
          <w:szCs w:val="18"/>
        </w:rPr>
      </w:pPr>
    </w:p>
    <w:p w:rsidR="00A65015" w:rsidRPr="00A50EE2" w:rsidRDefault="004422D5" w:rsidP="00CC6107">
      <w:pPr>
        <w:pStyle w:val="NoSpacing"/>
        <w:tabs>
          <w:tab w:val="left" w:pos="6663"/>
        </w:tabs>
        <w:jc w:val="both"/>
        <w:outlineLvl w:val="0"/>
        <w:rPr>
          <w:rFonts w:cstheme="minorHAnsi"/>
          <w:b/>
          <w:i/>
          <w:szCs w:val="18"/>
          <w:u w:val="single"/>
        </w:rPr>
      </w:pPr>
      <w:r w:rsidRPr="00A50EE2">
        <w:rPr>
          <w:rFonts w:cstheme="minorHAnsi"/>
          <w:b/>
          <w:i/>
          <w:szCs w:val="18"/>
          <w:u w:val="single"/>
        </w:rPr>
        <w:t xml:space="preserve">Premier </w:t>
      </w:r>
      <w:r w:rsidR="00A65015" w:rsidRPr="00A50EE2">
        <w:rPr>
          <w:rFonts w:cstheme="minorHAnsi"/>
          <w:b/>
          <w:i/>
          <w:szCs w:val="18"/>
          <w:u w:val="single"/>
        </w:rPr>
        <w:t>arrêt</w:t>
      </w:r>
      <w:r w:rsidRPr="00A50EE2">
        <w:rPr>
          <w:rFonts w:cstheme="minorHAnsi"/>
          <w:b/>
          <w:i/>
          <w:szCs w:val="18"/>
          <w:u w:val="single"/>
        </w:rPr>
        <w:t> :</w:t>
      </w:r>
    </w:p>
    <w:p w:rsidR="008E58A2" w:rsidRPr="00A50EE2" w:rsidRDefault="004422D5" w:rsidP="00767DE3">
      <w:pPr>
        <w:pStyle w:val="NoSpacing"/>
        <w:tabs>
          <w:tab w:val="left" w:pos="6663"/>
        </w:tabs>
        <w:jc w:val="both"/>
        <w:rPr>
          <w:rFonts w:cstheme="minorHAnsi"/>
          <w:szCs w:val="18"/>
        </w:rPr>
      </w:pPr>
      <w:r w:rsidRPr="00A50EE2">
        <w:rPr>
          <w:rFonts w:cstheme="minorHAnsi"/>
          <w:szCs w:val="18"/>
        </w:rPr>
        <w:t>Il faut repérer les faits.</w:t>
      </w:r>
    </w:p>
    <w:p w:rsidR="004422D5" w:rsidRPr="00A50EE2" w:rsidRDefault="008E58A2" w:rsidP="00767DE3">
      <w:pPr>
        <w:pStyle w:val="NoSpacing"/>
        <w:tabs>
          <w:tab w:val="left" w:pos="6663"/>
        </w:tabs>
        <w:jc w:val="both"/>
        <w:rPr>
          <w:rFonts w:cstheme="minorHAnsi"/>
          <w:szCs w:val="18"/>
        </w:rPr>
      </w:pPr>
      <w:r w:rsidRPr="00A50EE2">
        <w:rPr>
          <w:rFonts w:cstheme="minorHAnsi"/>
          <w:szCs w:val="18"/>
        </w:rPr>
        <w:t>Un moyen est un argument.</w:t>
      </w:r>
    </w:p>
    <w:p w:rsidR="008E58A2" w:rsidRPr="00A50EE2" w:rsidRDefault="008E58A2" w:rsidP="00767DE3">
      <w:pPr>
        <w:pStyle w:val="NoSpacing"/>
        <w:tabs>
          <w:tab w:val="left" w:pos="6663"/>
        </w:tabs>
        <w:jc w:val="both"/>
        <w:rPr>
          <w:rFonts w:cstheme="minorHAnsi"/>
          <w:szCs w:val="18"/>
        </w:rPr>
      </w:pPr>
      <w:r w:rsidRPr="00A50EE2">
        <w:rPr>
          <w:rFonts w:cstheme="minorHAnsi"/>
          <w:szCs w:val="18"/>
        </w:rPr>
        <w:t xml:space="preserve">Grief : </w:t>
      </w:r>
      <w:r w:rsidR="00A466F6" w:rsidRPr="00A50EE2">
        <w:rPr>
          <w:rFonts w:cstheme="minorHAnsi"/>
          <w:szCs w:val="18"/>
        </w:rPr>
        <w:t>un dommage que l’on subit</w:t>
      </w:r>
      <w:r w:rsidR="00D967C4" w:rsidRPr="00A50EE2">
        <w:rPr>
          <w:rFonts w:cstheme="minorHAnsi"/>
          <w:szCs w:val="18"/>
        </w:rPr>
        <w:t>, le motif de la plainte.</w:t>
      </w:r>
    </w:p>
    <w:p w:rsidR="00561B42" w:rsidRPr="00A50EE2" w:rsidRDefault="0034096B" w:rsidP="00767DE3">
      <w:pPr>
        <w:pStyle w:val="NoSpacing"/>
        <w:tabs>
          <w:tab w:val="left" w:pos="6663"/>
        </w:tabs>
        <w:jc w:val="both"/>
        <w:rPr>
          <w:rFonts w:cstheme="minorHAnsi"/>
          <w:szCs w:val="18"/>
        </w:rPr>
      </w:pPr>
      <w:r w:rsidRPr="00A50EE2">
        <w:rPr>
          <w:rFonts w:cstheme="minorHAnsi"/>
          <w:szCs w:val="18"/>
        </w:rPr>
        <w:t>Arrêt confirmatif attaqué : la Cour d’appel a donné raison à la juridiction de 1</w:t>
      </w:r>
      <w:r w:rsidRPr="00A50EE2">
        <w:rPr>
          <w:rFonts w:cstheme="minorHAnsi"/>
          <w:szCs w:val="18"/>
          <w:vertAlign w:val="superscript"/>
        </w:rPr>
        <w:t>ère</w:t>
      </w:r>
      <w:r w:rsidRPr="00A50EE2">
        <w:rPr>
          <w:rFonts w:cstheme="minorHAnsi"/>
          <w:szCs w:val="18"/>
        </w:rPr>
        <w:t xml:space="preserve"> instance.</w:t>
      </w:r>
    </w:p>
    <w:p w:rsidR="00561B42" w:rsidRPr="00A50EE2" w:rsidRDefault="00561B42" w:rsidP="00767DE3">
      <w:pPr>
        <w:pStyle w:val="NoSpacing"/>
        <w:tabs>
          <w:tab w:val="left" w:pos="6663"/>
        </w:tabs>
        <w:jc w:val="both"/>
        <w:rPr>
          <w:rFonts w:cstheme="minorHAnsi"/>
          <w:szCs w:val="18"/>
        </w:rPr>
      </w:pPr>
    </w:p>
    <w:p w:rsidR="00561B42" w:rsidRPr="00A50EE2" w:rsidRDefault="00561B42" w:rsidP="00767DE3">
      <w:pPr>
        <w:pStyle w:val="NoSpacing"/>
        <w:tabs>
          <w:tab w:val="left" w:pos="6663"/>
        </w:tabs>
        <w:jc w:val="both"/>
        <w:rPr>
          <w:rFonts w:cstheme="minorHAnsi"/>
          <w:szCs w:val="18"/>
        </w:rPr>
      </w:pPr>
      <w:r w:rsidRPr="00A50EE2">
        <w:rPr>
          <w:rFonts w:cstheme="minorHAnsi"/>
          <w:szCs w:val="18"/>
        </w:rPr>
        <w:t>La caisse estime que Faye qui vend des boutures préalablement plantées. Ensuite, il les revend. Mr Faye veut faire un prêt en tant que commerçant (car plus avantageux). Il saisit le tribunal de commerce qui lui reconnait la qualité de commerçant. La caisse interjette l’appel qui est d’a</w:t>
      </w:r>
      <w:r w:rsidR="003F4A07" w:rsidRPr="00A50EE2">
        <w:rPr>
          <w:rFonts w:cstheme="minorHAnsi"/>
          <w:szCs w:val="18"/>
        </w:rPr>
        <w:t>ccord avec la première instance</w:t>
      </w:r>
      <w:r w:rsidR="00B33AAC" w:rsidRPr="00A50EE2">
        <w:rPr>
          <w:rFonts w:cstheme="minorHAnsi"/>
          <w:szCs w:val="18"/>
        </w:rPr>
        <w:t>. La caisse fait donc un pourvoi. Mr Faye fait des actes de commerce car il y a achat pour la revente.</w:t>
      </w:r>
      <w:r w:rsidR="009327AE" w:rsidRPr="00A50EE2">
        <w:rPr>
          <w:rFonts w:cstheme="minorHAnsi"/>
          <w:szCs w:val="18"/>
        </w:rPr>
        <w:t xml:space="preserve"> Ici, c’est un arrêt de rejet</w:t>
      </w:r>
    </w:p>
    <w:p w:rsidR="004422D5" w:rsidRPr="00A50EE2" w:rsidRDefault="004422D5" w:rsidP="00767DE3">
      <w:pPr>
        <w:pStyle w:val="NoSpacing"/>
        <w:tabs>
          <w:tab w:val="left" w:pos="6663"/>
        </w:tabs>
        <w:jc w:val="both"/>
        <w:rPr>
          <w:rFonts w:cstheme="minorHAnsi"/>
          <w:szCs w:val="18"/>
        </w:rPr>
      </w:pPr>
    </w:p>
    <w:p w:rsidR="00767DE3" w:rsidRPr="00A50EE2" w:rsidRDefault="00802BA0" w:rsidP="00802BA0">
      <w:pPr>
        <w:pStyle w:val="NoSpacing"/>
        <w:tabs>
          <w:tab w:val="left" w:pos="6663"/>
        </w:tabs>
        <w:jc w:val="both"/>
        <w:rPr>
          <w:rFonts w:cstheme="minorHAnsi"/>
          <w:i/>
          <w:szCs w:val="18"/>
        </w:rPr>
      </w:pPr>
      <w:r w:rsidRPr="00A50EE2">
        <w:rPr>
          <w:rFonts w:cstheme="minorHAnsi"/>
          <w:i/>
          <w:szCs w:val="18"/>
        </w:rPr>
        <w:t xml:space="preserve">1. </w:t>
      </w:r>
      <w:r w:rsidR="00252800" w:rsidRPr="00A50EE2">
        <w:rPr>
          <w:rFonts w:cstheme="minorHAnsi"/>
          <w:i/>
          <w:szCs w:val="18"/>
        </w:rPr>
        <w:t>La p</w:t>
      </w:r>
      <w:r w:rsidR="00767DE3" w:rsidRPr="00A50EE2">
        <w:rPr>
          <w:rFonts w:cstheme="minorHAnsi"/>
          <w:i/>
          <w:szCs w:val="18"/>
        </w:rPr>
        <w:t>résentation de la décision</w:t>
      </w:r>
      <w:r w:rsidR="00252800" w:rsidRPr="00A50EE2">
        <w:rPr>
          <w:rFonts w:cstheme="minorHAnsi"/>
          <w:i/>
          <w:szCs w:val="18"/>
        </w:rPr>
        <w:t xml:space="preserve"> (date de la décision, juridiction)</w:t>
      </w:r>
    </w:p>
    <w:p w:rsidR="00651B61" w:rsidRPr="00A50EE2" w:rsidRDefault="00651B61" w:rsidP="00802BA0">
      <w:pPr>
        <w:pStyle w:val="NoSpacing"/>
        <w:tabs>
          <w:tab w:val="left" w:pos="6663"/>
        </w:tabs>
        <w:jc w:val="both"/>
        <w:rPr>
          <w:rFonts w:cstheme="minorHAnsi"/>
          <w:i/>
          <w:szCs w:val="18"/>
        </w:rPr>
      </w:pPr>
      <w:r w:rsidRPr="00A50EE2">
        <w:rPr>
          <w:rFonts w:cstheme="minorHAnsi"/>
          <w:i/>
          <w:szCs w:val="18"/>
        </w:rPr>
        <w:t>Il s’agit d’une audience publique du 5 février 1979 dont la juridiction est la Cour de Cassation.</w:t>
      </w:r>
    </w:p>
    <w:p w:rsidR="00767DE3" w:rsidRPr="00A50EE2" w:rsidRDefault="00252800" w:rsidP="00CC6107">
      <w:pPr>
        <w:pStyle w:val="NoSpacing"/>
        <w:tabs>
          <w:tab w:val="left" w:pos="6663"/>
        </w:tabs>
        <w:jc w:val="both"/>
        <w:outlineLvl w:val="0"/>
        <w:rPr>
          <w:rFonts w:cstheme="minorHAnsi"/>
          <w:i/>
          <w:szCs w:val="18"/>
        </w:rPr>
      </w:pPr>
      <w:r w:rsidRPr="00A50EE2">
        <w:rPr>
          <w:rFonts w:cstheme="minorHAnsi"/>
          <w:i/>
          <w:szCs w:val="18"/>
        </w:rPr>
        <w:t>2. Les f</w:t>
      </w:r>
      <w:r w:rsidR="00767DE3" w:rsidRPr="00A50EE2">
        <w:rPr>
          <w:rFonts w:cstheme="minorHAnsi"/>
          <w:i/>
          <w:szCs w:val="18"/>
        </w:rPr>
        <w:t>aits</w:t>
      </w:r>
    </w:p>
    <w:p w:rsidR="00802BA0" w:rsidRPr="00A50EE2" w:rsidRDefault="00802BA0" w:rsidP="00767DE3">
      <w:pPr>
        <w:pStyle w:val="NoSpacing"/>
        <w:tabs>
          <w:tab w:val="left" w:pos="6663"/>
        </w:tabs>
        <w:jc w:val="both"/>
        <w:rPr>
          <w:rFonts w:cstheme="minorHAnsi"/>
          <w:i/>
          <w:szCs w:val="18"/>
        </w:rPr>
      </w:pPr>
      <w:r w:rsidRPr="00A50EE2">
        <w:rPr>
          <w:rFonts w:cstheme="minorHAnsi"/>
          <w:i/>
          <w:szCs w:val="18"/>
        </w:rPr>
        <w:t>Les juges ont qualifié Mr Faye de commerçant car ils ont jugé que son activité n’était pas agricole du fait de la place minime qu’elle jouait dans le cycle de la production agricole.</w:t>
      </w:r>
    </w:p>
    <w:p w:rsidR="00767DE3" w:rsidRPr="00A50EE2" w:rsidRDefault="00767DE3" w:rsidP="00767DE3">
      <w:pPr>
        <w:pStyle w:val="NoSpacing"/>
        <w:tabs>
          <w:tab w:val="left" w:pos="6663"/>
        </w:tabs>
        <w:jc w:val="both"/>
        <w:rPr>
          <w:rFonts w:cstheme="minorHAnsi"/>
          <w:i/>
          <w:szCs w:val="18"/>
        </w:rPr>
      </w:pPr>
      <w:r w:rsidRPr="00A50EE2">
        <w:rPr>
          <w:rFonts w:cstheme="minorHAnsi"/>
          <w:i/>
          <w:szCs w:val="18"/>
        </w:rPr>
        <w:t>3.</w:t>
      </w:r>
      <w:r w:rsidR="00252800" w:rsidRPr="00A50EE2">
        <w:rPr>
          <w:rFonts w:cstheme="minorHAnsi"/>
          <w:i/>
          <w:szCs w:val="18"/>
        </w:rPr>
        <w:t xml:space="preserve"> La procédure (qui agit et pourquoi ?)</w:t>
      </w:r>
    </w:p>
    <w:p w:rsidR="008A6C61" w:rsidRPr="00A50EE2" w:rsidRDefault="002C42AF" w:rsidP="00767DE3">
      <w:pPr>
        <w:pStyle w:val="NoSpacing"/>
        <w:tabs>
          <w:tab w:val="left" w:pos="6663"/>
        </w:tabs>
        <w:jc w:val="both"/>
        <w:rPr>
          <w:rFonts w:cstheme="minorHAnsi"/>
          <w:i/>
          <w:szCs w:val="18"/>
        </w:rPr>
      </w:pPr>
      <w:r w:rsidRPr="00A50EE2">
        <w:rPr>
          <w:rFonts w:cstheme="minorHAnsi"/>
          <w:i/>
          <w:szCs w:val="18"/>
        </w:rPr>
        <w:t>C’est la Caisse qui agit pour que Mr Faye ne bénéficie pas de la qualité de commerçant pour faire son prêt.</w:t>
      </w:r>
    </w:p>
    <w:p w:rsidR="00BB3DB6" w:rsidRPr="00A50EE2" w:rsidRDefault="00252800" w:rsidP="00BB3DB6">
      <w:pPr>
        <w:pStyle w:val="NoSpacing"/>
        <w:tabs>
          <w:tab w:val="left" w:pos="6663"/>
        </w:tabs>
        <w:jc w:val="both"/>
        <w:rPr>
          <w:rFonts w:cstheme="minorHAnsi"/>
          <w:i/>
          <w:szCs w:val="18"/>
        </w:rPr>
      </w:pPr>
      <w:r w:rsidRPr="00A50EE2">
        <w:rPr>
          <w:rFonts w:cstheme="minorHAnsi"/>
          <w:i/>
          <w:szCs w:val="18"/>
        </w:rPr>
        <w:t>4. Le ou les problèmes juridiques</w:t>
      </w:r>
    </w:p>
    <w:p w:rsidR="00802BA0" w:rsidRPr="00A50EE2" w:rsidRDefault="00802BA0" w:rsidP="00BB3DB6">
      <w:pPr>
        <w:pStyle w:val="NoSpacing"/>
        <w:tabs>
          <w:tab w:val="left" w:pos="6663"/>
        </w:tabs>
        <w:jc w:val="both"/>
        <w:rPr>
          <w:rFonts w:cstheme="minorHAnsi"/>
          <w:i/>
          <w:szCs w:val="18"/>
        </w:rPr>
      </w:pPr>
      <w:r w:rsidRPr="00A50EE2">
        <w:rPr>
          <w:rFonts w:cstheme="minorHAnsi"/>
          <w:i/>
          <w:szCs w:val="18"/>
        </w:rPr>
        <w:t>Faut-il retiré à Mr Faye sa qualité de commerçant ?</w:t>
      </w:r>
    </w:p>
    <w:p w:rsidR="00252800" w:rsidRPr="00A50EE2" w:rsidRDefault="00252800" w:rsidP="00767DE3">
      <w:pPr>
        <w:pStyle w:val="NoSpacing"/>
        <w:tabs>
          <w:tab w:val="left" w:pos="6663"/>
        </w:tabs>
        <w:jc w:val="both"/>
        <w:rPr>
          <w:rFonts w:cstheme="minorHAnsi"/>
          <w:i/>
          <w:szCs w:val="18"/>
        </w:rPr>
      </w:pPr>
      <w:r w:rsidRPr="00A50EE2">
        <w:rPr>
          <w:rFonts w:cstheme="minorHAnsi"/>
          <w:i/>
          <w:szCs w:val="18"/>
        </w:rPr>
        <w:t>5. Les arguments</w:t>
      </w:r>
    </w:p>
    <w:p w:rsidR="00BB3DB6" w:rsidRPr="00A50EE2" w:rsidRDefault="00AE1D9A" w:rsidP="00767DE3">
      <w:pPr>
        <w:pStyle w:val="NoSpacing"/>
        <w:tabs>
          <w:tab w:val="left" w:pos="6663"/>
        </w:tabs>
        <w:jc w:val="both"/>
        <w:rPr>
          <w:rFonts w:cstheme="minorHAnsi"/>
          <w:i/>
          <w:szCs w:val="18"/>
        </w:rPr>
      </w:pPr>
      <w:r w:rsidRPr="00A50EE2">
        <w:rPr>
          <w:rFonts w:cstheme="minorHAnsi"/>
          <w:i/>
          <w:szCs w:val="18"/>
        </w:rPr>
        <w:t>La caisse</w:t>
      </w:r>
      <w:r w:rsidR="00BB3DB6" w:rsidRPr="00A50EE2">
        <w:rPr>
          <w:rFonts w:cstheme="minorHAnsi"/>
          <w:i/>
          <w:szCs w:val="18"/>
        </w:rPr>
        <w:t xml:space="preserve"> souhaite qu’on lui retire sa qualité de commerçant et qu’on lui attribue celle d’agriculteur. Pour lui, il ne fait pas d’acte de commerce. Mais en faisant pousser des boutures, il fait avancer sa production et participe donc au cycle de la création végétale. La vente de ces boutures fait </w:t>
      </w:r>
      <w:r w:rsidRPr="00A50EE2">
        <w:rPr>
          <w:rFonts w:cstheme="minorHAnsi"/>
          <w:i/>
          <w:szCs w:val="18"/>
        </w:rPr>
        <w:t>donc</w:t>
      </w:r>
      <w:r w:rsidR="00BB3DB6" w:rsidRPr="00A50EE2">
        <w:rPr>
          <w:rFonts w:cstheme="minorHAnsi"/>
          <w:i/>
          <w:szCs w:val="18"/>
        </w:rPr>
        <w:t xml:space="preserve"> partie de sa qualité d’agriculteur.</w:t>
      </w:r>
    </w:p>
    <w:p w:rsidR="00252800" w:rsidRPr="00A50EE2" w:rsidRDefault="00252800" w:rsidP="00CC6107">
      <w:pPr>
        <w:pStyle w:val="NoSpacing"/>
        <w:tabs>
          <w:tab w:val="left" w:pos="6663"/>
        </w:tabs>
        <w:jc w:val="both"/>
        <w:outlineLvl w:val="0"/>
        <w:rPr>
          <w:rFonts w:cstheme="minorHAnsi"/>
          <w:i/>
          <w:szCs w:val="18"/>
        </w:rPr>
      </w:pPr>
      <w:r w:rsidRPr="00A50EE2">
        <w:rPr>
          <w:rFonts w:cstheme="minorHAnsi"/>
          <w:i/>
          <w:szCs w:val="18"/>
        </w:rPr>
        <w:t>6. La solution</w:t>
      </w:r>
    </w:p>
    <w:p w:rsidR="00093831" w:rsidRPr="00A50EE2" w:rsidRDefault="0025737F" w:rsidP="00767DE3">
      <w:pPr>
        <w:pStyle w:val="NoSpacing"/>
        <w:tabs>
          <w:tab w:val="left" w:pos="6663"/>
        </w:tabs>
        <w:jc w:val="both"/>
        <w:rPr>
          <w:rFonts w:cstheme="minorHAnsi"/>
          <w:i/>
          <w:szCs w:val="18"/>
        </w:rPr>
      </w:pPr>
      <w:r w:rsidRPr="00A50EE2">
        <w:rPr>
          <w:rFonts w:cstheme="minorHAnsi"/>
          <w:i/>
          <w:szCs w:val="18"/>
        </w:rPr>
        <w:t xml:space="preserve">Mr Faye a acheté des boutures à d’autres horticulteurs. Or, l’achat pour la revente est considéré comme un acte de commerce. Mr Faye conservera donc sa qualité de commerçant et </w:t>
      </w:r>
      <w:r w:rsidR="003C31FC" w:rsidRPr="00A50EE2">
        <w:rPr>
          <w:rFonts w:cstheme="minorHAnsi"/>
          <w:i/>
          <w:szCs w:val="18"/>
        </w:rPr>
        <w:t>le</w:t>
      </w:r>
      <w:r w:rsidR="001A3D8B" w:rsidRPr="00A50EE2">
        <w:rPr>
          <w:rFonts w:cstheme="minorHAnsi"/>
          <w:i/>
          <w:szCs w:val="18"/>
        </w:rPr>
        <w:t xml:space="preserve"> pourvoi</w:t>
      </w:r>
      <w:r w:rsidR="003C31FC" w:rsidRPr="00A50EE2">
        <w:rPr>
          <w:rFonts w:cstheme="minorHAnsi"/>
          <w:i/>
          <w:szCs w:val="18"/>
        </w:rPr>
        <w:t xml:space="preserve"> de la caisse</w:t>
      </w:r>
      <w:r w:rsidR="001A3D8B" w:rsidRPr="00A50EE2">
        <w:rPr>
          <w:rFonts w:cstheme="minorHAnsi"/>
          <w:i/>
          <w:szCs w:val="18"/>
        </w:rPr>
        <w:t xml:space="preserve"> est rejeté le 3/09/79.</w:t>
      </w:r>
    </w:p>
    <w:p w:rsidR="00446FD1" w:rsidRPr="00A50EE2" w:rsidRDefault="00446FD1" w:rsidP="00767DE3">
      <w:pPr>
        <w:pStyle w:val="NoSpacing"/>
        <w:tabs>
          <w:tab w:val="left" w:pos="6663"/>
        </w:tabs>
        <w:jc w:val="both"/>
        <w:rPr>
          <w:rFonts w:cstheme="minorHAnsi"/>
          <w:szCs w:val="18"/>
        </w:rPr>
      </w:pPr>
    </w:p>
    <w:p w:rsidR="00A65015" w:rsidRPr="00A50EE2" w:rsidRDefault="00A65015" w:rsidP="00CC6107">
      <w:pPr>
        <w:pStyle w:val="NoSpacing"/>
        <w:tabs>
          <w:tab w:val="left" w:pos="6663"/>
        </w:tabs>
        <w:jc w:val="both"/>
        <w:outlineLvl w:val="0"/>
        <w:rPr>
          <w:rFonts w:cstheme="minorHAnsi"/>
          <w:b/>
          <w:i/>
          <w:szCs w:val="18"/>
          <w:u w:val="single"/>
        </w:rPr>
      </w:pPr>
      <w:r w:rsidRPr="00A50EE2">
        <w:rPr>
          <w:rFonts w:cstheme="minorHAnsi"/>
          <w:b/>
          <w:i/>
          <w:szCs w:val="18"/>
          <w:u w:val="single"/>
        </w:rPr>
        <w:t>Deuxième arrêt :</w:t>
      </w:r>
    </w:p>
    <w:p w:rsidR="00234F42" w:rsidRPr="00A50EE2" w:rsidRDefault="00234F42" w:rsidP="00446FD1">
      <w:pPr>
        <w:pStyle w:val="NoSpacing"/>
        <w:tabs>
          <w:tab w:val="left" w:pos="6663"/>
        </w:tabs>
        <w:jc w:val="both"/>
        <w:rPr>
          <w:rFonts w:cstheme="minorHAnsi"/>
          <w:szCs w:val="18"/>
        </w:rPr>
      </w:pPr>
      <w:r w:rsidRPr="00A50EE2">
        <w:rPr>
          <w:rFonts w:cstheme="minorHAnsi"/>
          <w:szCs w:val="18"/>
        </w:rPr>
        <w:t>Acte : authentique (notaire donc avec frais) ou sous seing privé (entre deux personnes souvent sans frais).</w:t>
      </w:r>
    </w:p>
    <w:p w:rsidR="0089283D" w:rsidRPr="00A50EE2" w:rsidRDefault="0089283D" w:rsidP="00446FD1">
      <w:pPr>
        <w:pStyle w:val="NoSpacing"/>
        <w:tabs>
          <w:tab w:val="left" w:pos="6663"/>
        </w:tabs>
        <w:jc w:val="both"/>
        <w:rPr>
          <w:rFonts w:cstheme="minorHAnsi"/>
          <w:szCs w:val="18"/>
        </w:rPr>
      </w:pPr>
    </w:p>
    <w:p w:rsidR="0089283D" w:rsidRPr="00A50EE2" w:rsidRDefault="0089283D" w:rsidP="00446FD1">
      <w:pPr>
        <w:pStyle w:val="NoSpacing"/>
        <w:tabs>
          <w:tab w:val="left" w:pos="6663"/>
        </w:tabs>
        <w:jc w:val="both"/>
        <w:rPr>
          <w:rFonts w:cstheme="minorHAnsi"/>
          <w:szCs w:val="18"/>
        </w:rPr>
      </w:pPr>
      <w:r w:rsidRPr="00A50EE2">
        <w:rPr>
          <w:rFonts w:cstheme="minorHAnsi"/>
          <w:szCs w:val="18"/>
        </w:rPr>
        <w:t xml:space="preserve">Mme X vend à Z une concession d’agence matrimoniale mais Mme Z n’est plus d’accord pour acquérir cette concession. Le </w:t>
      </w:r>
      <w:r w:rsidR="00F459F2" w:rsidRPr="00A50EE2">
        <w:rPr>
          <w:rFonts w:cstheme="minorHAnsi"/>
          <w:szCs w:val="18"/>
        </w:rPr>
        <w:t>tribunal de commerce s’estime incompétent pour juger cela. C’est davantage un acte civil que commercial. Il faut donc se tourner vers le tribunal de grande instance. En appel, il y a eu une confirmation de l’incompétence. Pour la Cour de cassation, c’est une opération de courtage que de rapprocher des personnes. Et le courtage est régit par le code commerce donc c’est un acte de commerce. Donc le tribunal de commerce ne peut pas s’estimer incompétent.</w:t>
      </w:r>
    </w:p>
    <w:p w:rsidR="00A65015" w:rsidRPr="00A50EE2" w:rsidRDefault="00A65015" w:rsidP="00446FD1">
      <w:pPr>
        <w:pStyle w:val="NoSpacing"/>
        <w:tabs>
          <w:tab w:val="left" w:pos="6663"/>
        </w:tabs>
        <w:jc w:val="both"/>
        <w:rPr>
          <w:rFonts w:cstheme="minorHAnsi"/>
          <w:szCs w:val="18"/>
        </w:rPr>
      </w:pPr>
    </w:p>
    <w:p w:rsidR="00446FD1" w:rsidRPr="00A50EE2" w:rsidRDefault="00446FD1" w:rsidP="00446FD1">
      <w:pPr>
        <w:pStyle w:val="NoSpacing"/>
        <w:tabs>
          <w:tab w:val="left" w:pos="6663"/>
        </w:tabs>
        <w:jc w:val="both"/>
        <w:rPr>
          <w:rFonts w:cstheme="minorHAnsi"/>
          <w:i/>
          <w:szCs w:val="18"/>
        </w:rPr>
      </w:pPr>
      <w:r w:rsidRPr="00A50EE2">
        <w:rPr>
          <w:rFonts w:cstheme="minorHAnsi"/>
          <w:i/>
          <w:szCs w:val="18"/>
        </w:rPr>
        <w:t>1. La présentation de la décision (date de la décision, juridiction)</w:t>
      </w:r>
    </w:p>
    <w:p w:rsidR="002A3995" w:rsidRPr="00A50EE2" w:rsidRDefault="002A3995" w:rsidP="00446FD1">
      <w:pPr>
        <w:pStyle w:val="NoSpacing"/>
        <w:tabs>
          <w:tab w:val="left" w:pos="6663"/>
        </w:tabs>
        <w:jc w:val="both"/>
        <w:rPr>
          <w:rFonts w:cstheme="minorHAnsi"/>
          <w:i/>
          <w:szCs w:val="18"/>
        </w:rPr>
      </w:pPr>
      <w:r w:rsidRPr="00A50EE2">
        <w:rPr>
          <w:rFonts w:cstheme="minorHAnsi"/>
          <w:i/>
          <w:szCs w:val="18"/>
        </w:rPr>
        <w:t>Il s’agit d’une audience</w:t>
      </w:r>
      <w:r w:rsidR="003B3055" w:rsidRPr="00A50EE2">
        <w:rPr>
          <w:rFonts w:cstheme="minorHAnsi"/>
          <w:i/>
          <w:szCs w:val="18"/>
        </w:rPr>
        <w:t xml:space="preserve"> publique du mardi 3 avril 1984 dont la juridiction est la Cour de Cassation.</w:t>
      </w:r>
    </w:p>
    <w:p w:rsidR="00446FD1" w:rsidRPr="00A50EE2" w:rsidRDefault="00446FD1" w:rsidP="00446FD1">
      <w:pPr>
        <w:pStyle w:val="NoSpacing"/>
        <w:tabs>
          <w:tab w:val="left" w:pos="6663"/>
        </w:tabs>
        <w:jc w:val="both"/>
        <w:rPr>
          <w:rFonts w:cstheme="minorHAnsi"/>
          <w:i/>
          <w:szCs w:val="18"/>
        </w:rPr>
      </w:pPr>
      <w:r w:rsidRPr="00A50EE2">
        <w:rPr>
          <w:rFonts w:cstheme="minorHAnsi"/>
          <w:i/>
          <w:szCs w:val="18"/>
        </w:rPr>
        <w:t>2. Les faits</w:t>
      </w:r>
    </w:p>
    <w:p w:rsidR="00EE7EA3" w:rsidRPr="00A50EE2" w:rsidRDefault="00796EE3" w:rsidP="00446FD1">
      <w:pPr>
        <w:pStyle w:val="NoSpacing"/>
        <w:tabs>
          <w:tab w:val="left" w:pos="6663"/>
        </w:tabs>
        <w:jc w:val="both"/>
        <w:rPr>
          <w:rFonts w:cstheme="minorHAnsi"/>
          <w:i/>
          <w:szCs w:val="18"/>
        </w:rPr>
      </w:pPr>
      <w:r w:rsidRPr="00A50EE2">
        <w:rPr>
          <w:rFonts w:cstheme="minorHAnsi"/>
          <w:i/>
          <w:szCs w:val="18"/>
        </w:rPr>
        <w:t>Mme x a cédé à Mme z son agence matrimoniale le 12/02/79.</w:t>
      </w:r>
    </w:p>
    <w:p w:rsidR="00446FD1" w:rsidRPr="00A50EE2" w:rsidRDefault="00446FD1" w:rsidP="00446FD1">
      <w:pPr>
        <w:pStyle w:val="NoSpacing"/>
        <w:tabs>
          <w:tab w:val="left" w:pos="6663"/>
        </w:tabs>
        <w:jc w:val="both"/>
        <w:rPr>
          <w:rFonts w:cstheme="minorHAnsi"/>
          <w:i/>
          <w:szCs w:val="18"/>
        </w:rPr>
      </w:pPr>
      <w:r w:rsidRPr="00A50EE2">
        <w:rPr>
          <w:rFonts w:cstheme="minorHAnsi"/>
          <w:i/>
          <w:szCs w:val="18"/>
        </w:rPr>
        <w:t>3. La procédure (qui agit et pourquoi ?)</w:t>
      </w:r>
    </w:p>
    <w:p w:rsidR="003B3055" w:rsidRPr="00A50EE2" w:rsidRDefault="003B3055" w:rsidP="00446FD1">
      <w:pPr>
        <w:pStyle w:val="NoSpacing"/>
        <w:tabs>
          <w:tab w:val="left" w:pos="6663"/>
        </w:tabs>
        <w:jc w:val="both"/>
        <w:rPr>
          <w:rFonts w:cstheme="minorHAnsi"/>
          <w:i/>
          <w:szCs w:val="18"/>
        </w:rPr>
      </w:pPr>
      <w:r w:rsidRPr="00A50EE2">
        <w:rPr>
          <w:rFonts w:cstheme="minorHAnsi"/>
          <w:i/>
          <w:szCs w:val="18"/>
        </w:rPr>
        <w:t xml:space="preserve">Mme z agit </w:t>
      </w:r>
      <w:r w:rsidR="00C465FF" w:rsidRPr="00A50EE2">
        <w:rPr>
          <w:rFonts w:cstheme="minorHAnsi"/>
          <w:i/>
          <w:szCs w:val="18"/>
        </w:rPr>
        <w:t xml:space="preserve">car elle </w:t>
      </w:r>
      <w:r w:rsidR="00AC510D" w:rsidRPr="00A50EE2">
        <w:rPr>
          <w:rFonts w:cstheme="minorHAnsi"/>
          <w:i/>
          <w:szCs w:val="18"/>
        </w:rPr>
        <w:t>ne veut plus bénéficier de cette cession.</w:t>
      </w:r>
    </w:p>
    <w:p w:rsidR="00446FD1" w:rsidRPr="00A50EE2" w:rsidRDefault="00446FD1" w:rsidP="00446FD1">
      <w:pPr>
        <w:pStyle w:val="NoSpacing"/>
        <w:tabs>
          <w:tab w:val="left" w:pos="6663"/>
        </w:tabs>
        <w:jc w:val="both"/>
        <w:rPr>
          <w:rFonts w:cstheme="minorHAnsi"/>
          <w:i/>
          <w:szCs w:val="18"/>
        </w:rPr>
      </w:pPr>
      <w:r w:rsidRPr="00A50EE2">
        <w:rPr>
          <w:rFonts w:cstheme="minorHAnsi"/>
          <w:i/>
          <w:szCs w:val="18"/>
        </w:rPr>
        <w:t>4. Le ou les problèmes juridiques</w:t>
      </w:r>
    </w:p>
    <w:p w:rsidR="008F4C34" w:rsidRPr="00A50EE2" w:rsidRDefault="008F4C34" w:rsidP="00446FD1">
      <w:pPr>
        <w:pStyle w:val="NoSpacing"/>
        <w:tabs>
          <w:tab w:val="left" w:pos="6663"/>
        </w:tabs>
        <w:jc w:val="both"/>
        <w:rPr>
          <w:rFonts w:cstheme="minorHAnsi"/>
          <w:i/>
          <w:szCs w:val="18"/>
        </w:rPr>
      </w:pPr>
      <w:r w:rsidRPr="00A50EE2">
        <w:rPr>
          <w:rFonts w:cstheme="minorHAnsi"/>
          <w:i/>
          <w:szCs w:val="18"/>
        </w:rPr>
        <w:t>Est-ce, comme le dit la Cour d’appel, un acte civil ?</w:t>
      </w:r>
      <w:r w:rsidR="00AC510D" w:rsidRPr="00A50EE2">
        <w:rPr>
          <w:rFonts w:cstheme="minorHAnsi"/>
          <w:i/>
          <w:szCs w:val="18"/>
        </w:rPr>
        <w:t xml:space="preserve"> Et qui est compétent pour juger cela ?</w:t>
      </w:r>
    </w:p>
    <w:p w:rsidR="00446FD1" w:rsidRPr="00A50EE2" w:rsidRDefault="00446FD1" w:rsidP="00CC6107">
      <w:pPr>
        <w:pStyle w:val="NoSpacing"/>
        <w:tabs>
          <w:tab w:val="left" w:pos="6663"/>
        </w:tabs>
        <w:jc w:val="both"/>
        <w:outlineLvl w:val="0"/>
        <w:rPr>
          <w:rFonts w:cstheme="minorHAnsi"/>
          <w:i/>
          <w:szCs w:val="18"/>
        </w:rPr>
      </w:pPr>
      <w:r w:rsidRPr="00A50EE2">
        <w:rPr>
          <w:rFonts w:cstheme="minorHAnsi"/>
          <w:i/>
          <w:szCs w:val="18"/>
        </w:rPr>
        <w:t>5. Les arguments</w:t>
      </w:r>
    </w:p>
    <w:p w:rsidR="00EE7EA3" w:rsidRPr="00A50EE2" w:rsidRDefault="00B5582D" w:rsidP="00446FD1">
      <w:pPr>
        <w:pStyle w:val="NoSpacing"/>
        <w:tabs>
          <w:tab w:val="left" w:pos="6663"/>
        </w:tabs>
        <w:jc w:val="both"/>
        <w:rPr>
          <w:rFonts w:cstheme="minorHAnsi"/>
          <w:i/>
          <w:szCs w:val="18"/>
        </w:rPr>
      </w:pPr>
      <w:r w:rsidRPr="00A50EE2">
        <w:rPr>
          <w:rFonts w:cstheme="minorHAnsi"/>
          <w:i/>
          <w:szCs w:val="18"/>
        </w:rPr>
        <w:t xml:space="preserve">Le courtier rapproche deux personnes en vue de leur faire conclure un contrat. </w:t>
      </w:r>
      <w:r w:rsidR="00EE7EA3" w:rsidRPr="00A50EE2">
        <w:rPr>
          <w:rFonts w:cstheme="minorHAnsi"/>
          <w:i/>
          <w:szCs w:val="18"/>
        </w:rPr>
        <w:t>Le co</w:t>
      </w:r>
      <w:r w:rsidR="00796EE3" w:rsidRPr="00A50EE2">
        <w:rPr>
          <w:rFonts w:cstheme="minorHAnsi"/>
          <w:i/>
          <w:szCs w:val="18"/>
        </w:rPr>
        <w:t>urtage est un acte de commerce et les agences matrimoniales en font partie.</w:t>
      </w:r>
    </w:p>
    <w:p w:rsidR="00446FD1" w:rsidRPr="00A50EE2" w:rsidRDefault="00446FD1" w:rsidP="00CC6107">
      <w:pPr>
        <w:pStyle w:val="NoSpacing"/>
        <w:tabs>
          <w:tab w:val="left" w:pos="6663"/>
        </w:tabs>
        <w:jc w:val="both"/>
        <w:outlineLvl w:val="0"/>
        <w:rPr>
          <w:rFonts w:cstheme="minorHAnsi"/>
          <w:i/>
          <w:szCs w:val="18"/>
        </w:rPr>
      </w:pPr>
      <w:r w:rsidRPr="00A50EE2">
        <w:rPr>
          <w:rFonts w:cstheme="minorHAnsi"/>
          <w:i/>
          <w:szCs w:val="18"/>
        </w:rPr>
        <w:t>6. La solution</w:t>
      </w:r>
    </w:p>
    <w:p w:rsidR="00796EE3" w:rsidRPr="00A50EE2" w:rsidRDefault="00796EE3" w:rsidP="00446FD1">
      <w:pPr>
        <w:pStyle w:val="NoSpacing"/>
        <w:tabs>
          <w:tab w:val="left" w:pos="6663"/>
        </w:tabs>
        <w:jc w:val="both"/>
        <w:rPr>
          <w:rFonts w:cstheme="minorHAnsi"/>
          <w:i/>
          <w:szCs w:val="18"/>
        </w:rPr>
      </w:pPr>
      <w:r w:rsidRPr="00A50EE2">
        <w:rPr>
          <w:rFonts w:cstheme="minorHAnsi"/>
          <w:i/>
          <w:szCs w:val="18"/>
        </w:rPr>
        <w:t xml:space="preserve">La Cour d’Appel n’ayant pas respecté </w:t>
      </w:r>
      <w:r w:rsidR="00162A39" w:rsidRPr="00A50EE2">
        <w:rPr>
          <w:rFonts w:cstheme="minorHAnsi"/>
          <w:i/>
          <w:szCs w:val="18"/>
        </w:rPr>
        <w:t>les règles du commerce</w:t>
      </w:r>
      <w:r w:rsidRPr="00A50EE2">
        <w:rPr>
          <w:rFonts w:cstheme="minorHAnsi"/>
          <w:i/>
          <w:szCs w:val="18"/>
        </w:rPr>
        <w:t>, sa décision est annulée</w:t>
      </w:r>
      <w:r w:rsidR="003B3055" w:rsidRPr="00A50EE2">
        <w:rPr>
          <w:rFonts w:cstheme="minorHAnsi"/>
          <w:i/>
          <w:szCs w:val="18"/>
        </w:rPr>
        <w:t xml:space="preserve"> le 4 février 1982</w:t>
      </w:r>
      <w:r w:rsidRPr="00A50EE2">
        <w:rPr>
          <w:rFonts w:cstheme="minorHAnsi"/>
          <w:i/>
          <w:szCs w:val="18"/>
        </w:rPr>
        <w:t>.</w:t>
      </w:r>
    </w:p>
    <w:p w:rsidR="00446FD1" w:rsidRPr="00A50EE2" w:rsidRDefault="00446FD1" w:rsidP="00767DE3">
      <w:pPr>
        <w:pStyle w:val="NoSpacing"/>
        <w:tabs>
          <w:tab w:val="left" w:pos="6663"/>
        </w:tabs>
        <w:jc w:val="both"/>
        <w:rPr>
          <w:rFonts w:cstheme="minorHAnsi"/>
          <w:szCs w:val="18"/>
        </w:rPr>
      </w:pPr>
    </w:p>
    <w:p w:rsidR="008E353F" w:rsidRPr="00A50EE2" w:rsidRDefault="008E353F" w:rsidP="00CC6107">
      <w:pPr>
        <w:pStyle w:val="NoSpacing"/>
        <w:tabs>
          <w:tab w:val="left" w:pos="6663"/>
        </w:tabs>
        <w:jc w:val="both"/>
        <w:outlineLvl w:val="0"/>
        <w:rPr>
          <w:rFonts w:cstheme="minorHAnsi"/>
          <w:szCs w:val="18"/>
        </w:rPr>
      </w:pPr>
      <w:r w:rsidRPr="00A50EE2">
        <w:rPr>
          <w:rFonts w:cstheme="minorHAnsi"/>
          <w:szCs w:val="18"/>
        </w:rPr>
        <w:t>Cf. annexe 7</w:t>
      </w:r>
      <w:r w:rsidR="005B7F20" w:rsidRPr="00A50EE2">
        <w:rPr>
          <w:rFonts w:cstheme="minorHAnsi"/>
          <w:szCs w:val="18"/>
        </w:rPr>
        <w:t> : normalement, entre commerçants, les prix s’entendent HT. Il ne faut pas parler en TTC.</w:t>
      </w:r>
    </w:p>
    <w:p w:rsidR="00D94220" w:rsidRPr="00A50EE2" w:rsidRDefault="00D94220" w:rsidP="00767DE3">
      <w:pPr>
        <w:pStyle w:val="NoSpacing"/>
        <w:tabs>
          <w:tab w:val="left" w:pos="6663"/>
        </w:tabs>
        <w:jc w:val="both"/>
        <w:rPr>
          <w:rFonts w:cstheme="minorHAnsi"/>
          <w:szCs w:val="18"/>
        </w:rPr>
      </w:pPr>
    </w:p>
    <w:p w:rsidR="00D94220" w:rsidRPr="00A50EE2" w:rsidRDefault="00D94220" w:rsidP="00767DE3">
      <w:pPr>
        <w:pStyle w:val="NoSpacing"/>
        <w:tabs>
          <w:tab w:val="left" w:pos="6663"/>
        </w:tabs>
        <w:jc w:val="both"/>
        <w:rPr>
          <w:rFonts w:cstheme="minorHAnsi"/>
          <w:szCs w:val="18"/>
        </w:rPr>
      </w:pPr>
      <w:r w:rsidRPr="00A50EE2">
        <w:rPr>
          <w:rFonts w:cstheme="minorHAnsi"/>
          <w:szCs w:val="18"/>
        </w:rPr>
        <w:t>Cf. tableau synoptique et classification des actes de commerce.</w:t>
      </w:r>
    </w:p>
    <w:p w:rsidR="00D94220" w:rsidRPr="00A50EE2" w:rsidRDefault="00D94220" w:rsidP="00767DE3">
      <w:pPr>
        <w:pStyle w:val="NoSpacing"/>
        <w:tabs>
          <w:tab w:val="left" w:pos="6663"/>
        </w:tabs>
        <w:jc w:val="both"/>
        <w:rPr>
          <w:rFonts w:cstheme="minorHAnsi"/>
          <w:szCs w:val="18"/>
        </w:rPr>
      </w:pPr>
      <w:r w:rsidRPr="00A50EE2">
        <w:rPr>
          <w:rFonts w:cstheme="minorHAnsi"/>
          <w:szCs w:val="18"/>
        </w:rPr>
        <w:t>Ex1 : un vétérinaire a une activité civile. La vente de médicament est accessoire à son activité donc ce n’est pas un acte de commerce (pas de bénéfices).</w:t>
      </w:r>
    </w:p>
    <w:p w:rsidR="00D94220" w:rsidRPr="00A50EE2" w:rsidRDefault="00D94220" w:rsidP="00767DE3">
      <w:pPr>
        <w:pStyle w:val="NoSpacing"/>
        <w:tabs>
          <w:tab w:val="left" w:pos="6663"/>
        </w:tabs>
        <w:jc w:val="both"/>
        <w:rPr>
          <w:rFonts w:cstheme="minorHAnsi"/>
          <w:szCs w:val="18"/>
        </w:rPr>
      </w:pPr>
      <w:r w:rsidRPr="00A50EE2">
        <w:rPr>
          <w:rFonts w:cstheme="minorHAnsi"/>
          <w:szCs w:val="18"/>
        </w:rPr>
        <w:t xml:space="preserve">Ex2 : </w:t>
      </w:r>
      <w:r w:rsidR="003828C6" w:rsidRPr="00A50EE2">
        <w:rPr>
          <w:rFonts w:cstheme="minorHAnsi"/>
          <w:szCs w:val="18"/>
        </w:rPr>
        <w:t>une créance civile peut être transformée en commerciale et inversement.</w:t>
      </w:r>
    </w:p>
    <w:sectPr w:rsidR="00D94220" w:rsidRPr="00A50EE2" w:rsidSect="00750EF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E5CD0" w:rsidRDefault="003E5CD0" w:rsidP="00D25D9A">
      <w:pPr>
        <w:spacing w:after="0" w:line="240" w:lineRule="auto"/>
      </w:pPr>
      <w:r>
        <w:separator/>
      </w:r>
    </w:p>
  </w:endnote>
  <w:endnote w:type="continuationSeparator" w:id="1">
    <w:p w:rsidR="003E5CD0" w:rsidRDefault="003E5CD0" w:rsidP="00D25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rFonts w:ascii="Comic Sans MS" w:hAnsi="Comic Sans MS"/>
        <w:i/>
        <w:sz w:val="16"/>
        <w:szCs w:val="16"/>
      </w:rPr>
      <w:id w:val="265289310"/>
      <w:docPartObj>
        <w:docPartGallery w:val="Page Numbers (Bottom of Page)"/>
        <w:docPartUnique/>
      </w:docPartObj>
    </w:sdtPr>
    <w:sdtContent>
      <w:sdt>
        <w:sdtPr>
          <w:rPr>
            <w:rFonts w:ascii="Comic Sans MS" w:hAnsi="Comic Sans MS"/>
            <w:i/>
            <w:sz w:val="16"/>
            <w:szCs w:val="16"/>
          </w:rPr>
          <w:id w:val="123787560"/>
          <w:docPartObj>
            <w:docPartGallery w:val="Page Numbers (Top of Page)"/>
            <w:docPartUnique/>
          </w:docPartObj>
        </w:sdtPr>
        <w:sdtContent>
          <w:p w:rsidR="00D25D9A" w:rsidRPr="00D25D9A" w:rsidRDefault="00D25D9A">
            <w:pPr>
              <w:pStyle w:val="Footer"/>
              <w:jc w:val="center"/>
              <w:rPr>
                <w:rFonts w:ascii="Comic Sans MS" w:hAnsi="Comic Sans MS"/>
                <w:i/>
                <w:sz w:val="16"/>
                <w:szCs w:val="16"/>
              </w:rPr>
            </w:pPr>
            <w:r w:rsidRPr="00D25D9A">
              <w:rPr>
                <w:rFonts w:ascii="Comic Sans MS" w:hAnsi="Comic Sans MS"/>
                <w:i/>
                <w:sz w:val="16"/>
                <w:szCs w:val="16"/>
              </w:rPr>
              <w:t xml:space="preserve">Page </w:t>
            </w:r>
            <w:r w:rsidR="00ED67CB" w:rsidRPr="00D25D9A">
              <w:rPr>
                <w:rFonts w:ascii="Comic Sans MS" w:hAnsi="Comic Sans MS"/>
                <w:b/>
                <w:i/>
                <w:sz w:val="16"/>
                <w:szCs w:val="16"/>
              </w:rPr>
              <w:fldChar w:fldCharType="begin"/>
            </w:r>
            <w:r w:rsidRPr="00D25D9A">
              <w:rPr>
                <w:rFonts w:ascii="Comic Sans MS" w:hAnsi="Comic Sans MS"/>
                <w:b/>
                <w:i/>
                <w:sz w:val="16"/>
                <w:szCs w:val="16"/>
              </w:rPr>
              <w:instrText>PAGE</w:instrText>
            </w:r>
            <w:r w:rsidR="00ED67CB" w:rsidRPr="00D25D9A">
              <w:rPr>
                <w:rFonts w:ascii="Comic Sans MS" w:hAnsi="Comic Sans MS"/>
                <w:b/>
                <w:i/>
                <w:sz w:val="16"/>
                <w:szCs w:val="16"/>
              </w:rPr>
              <w:fldChar w:fldCharType="separate"/>
            </w:r>
            <w:r w:rsidR="00CC6107">
              <w:rPr>
                <w:rFonts w:ascii="Comic Sans MS" w:hAnsi="Comic Sans MS"/>
                <w:b/>
                <w:i/>
                <w:noProof/>
                <w:sz w:val="16"/>
                <w:szCs w:val="16"/>
              </w:rPr>
              <w:t>3</w:t>
            </w:r>
            <w:r w:rsidR="00ED67CB" w:rsidRPr="00D25D9A">
              <w:rPr>
                <w:rFonts w:ascii="Comic Sans MS" w:hAnsi="Comic Sans MS"/>
                <w:b/>
                <w:i/>
                <w:sz w:val="16"/>
                <w:szCs w:val="16"/>
              </w:rPr>
              <w:fldChar w:fldCharType="end"/>
            </w:r>
            <w:r w:rsidRPr="00D25D9A">
              <w:rPr>
                <w:rFonts w:ascii="Comic Sans MS" w:hAnsi="Comic Sans MS"/>
                <w:i/>
                <w:sz w:val="16"/>
                <w:szCs w:val="16"/>
              </w:rPr>
              <w:t xml:space="preserve"> sur </w:t>
            </w:r>
            <w:r w:rsidR="00ED67CB" w:rsidRPr="00D25D9A">
              <w:rPr>
                <w:rFonts w:ascii="Comic Sans MS" w:hAnsi="Comic Sans MS"/>
                <w:b/>
                <w:i/>
                <w:sz w:val="16"/>
                <w:szCs w:val="16"/>
              </w:rPr>
              <w:fldChar w:fldCharType="begin"/>
            </w:r>
            <w:r w:rsidRPr="00D25D9A">
              <w:rPr>
                <w:rFonts w:ascii="Comic Sans MS" w:hAnsi="Comic Sans MS"/>
                <w:b/>
                <w:i/>
                <w:sz w:val="16"/>
                <w:szCs w:val="16"/>
              </w:rPr>
              <w:instrText>NUMPAGES</w:instrText>
            </w:r>
            <w:r w:rsidR="00ED67CB" w:rsidRPr="00D25D9A">
              <w:rPr>
                <w:rFonts w:ascii="Comic Sans MS" w:hAnsi="Comic Sans MS"/>
                <w:b/>
                <w:i/>
                <w:sz w:val="16"/>
                <w:szCs w:val="16"/>
              </w:rPr>
              <w:fldChar w:fldCharType="separate"/>
            </w:r>
            <w:r w:rsidR="00CC6107">
              <w:rPr>
                <w:rFonts w:ascii="Comic Sans MS" w:hAnsi="Comic Sans MS"/>
                <w:b/>
                <w:i/>
                <w:noProof/>
                <w:sz w:val="16"/>
                <w:szCs w:val="16"/>
              </w:rPr>
              <w:t>6</w:t>
            </w:r>
            <w:r w:rsidR="00ED67CB" w:rsidRPr="00D25D9A">
              <w:rPr>
                <w:rFonts w:ascii="Comic Sans MS" w:hAnsi="Comic Sans MS"/>
                <w:b/>
                <w:i/>
                <w:sz w:val="16"/>
                <w:szCs w:val="16"/>
              </w:rPr>
              <w:fldChar w:fldCharType="end"/>
            </w:r>
          </w:p>
        </w:sdtContent>
      </w:sdt>
    </w:sdtContent>
  </w:sdt>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E5CD0" w:rsidRDefault="003E5CD0" w:rsidP="00D25D9A">
      <w:pPr>
        <w:spacing w:after="0" w:line="240" w:lineRule="auto"/>
      </w:pPr>
      <w:r>
        <w:separator/>
      </w:r>
    </w:p>
  </w:footnote>
  <w:footnote w:type="continuationSeparator" w:id="1">
    <w:p w:rsidR="003E5CD0" w:rsidRDefault="003E5CD0" w:rsidP="00D25D9A">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25D9A" w:rsidRPr="00D25D9A" w:rsidRDefault="00D25D9A" w:rsidP="00D25D9A">
    <w:pPr>
      <w:pStyle w:val="Header"/>
      <w:tabs>
        <w:tab w:val="clear" w:pos="4536"/>
      </w:tabs>
      <w:rPr>
        <w:rFonts w:ascii="Comic Sans MS" w:hAnsi="Comic Sans MS"/>
        <w:i/>
        <w:sz w:val="16"/>
        <w:szCs w:val="16"/>
      </w:rPr>
    </w:pPr>
    <w:r w:rsidRPr="00D25D9A">
      <w:rPr>
        <w:rFonts w:ascii="Comic Sans MS" w:hAnsi="Comic Sans MS"/>
        <w:i/>
        <w:sz w:val="16"/>
        <w:szCs w:val="16"/>
      </w:rPr>
      <w:tab/>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381578B"/>
    <w:multiLevelType w:val="hybridMultilevel"/>
    <w:tmpl w:val="73F852BC"/>
    <w:lvl w:ilvl="0" w:tplc="533A30B2">
      <w:start w:val="3"/>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E462D0"/>
    <w:multiLevelType w:val="hybridMultilevel"/>
    <w:tmpl w:val="76BA6226"/>
    <w:lvl w:ilvl="0" w:tplc="5F384D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25621E"/>
    <w:multiLevelType w:val="hybridMultilevel"/>
    <w:tmpl w:val="AA5E8852"/>
    <w:lvl w:ilvl="0" w:tplc="B38EE29A">
      <w:start w:val="3"/>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BC555F"/>
    <w:multiLevelType w:val="hybridMultilevel"/>
    <w:tmpl w:val="72243D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AA15568"/>
    <w:multiLevelType w:val="hybridMultilevel"/>
    <w:tmpl w:val="BDD0863E"/>
    <w:lvl w:ilvl="0" w:tplc="15A2348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rsids>
    <w:rsidRoot w:val="00E52F60"/>
    <w:rsid w:val="0002362F"/>
    <w:rsid w:val="00093682"/>
    <w:rsid w:val="00093831"/>
    <w:rsid w:val="000A7283"/>
    <w:rsid w:val="000B5022"/>
    <w:rsid w:val="000B62B2"/>
    <w:rsid w:val="000D61B4"/>
    <w:rsid w:val="000E7EC3"/>
    <w:rsid w:val="001107FC"/>
    <w:rsid w:val="001309A4"/>
    <w:rsid w:val="00132D6F"/>
    <w:rsid w:val="001512A1"/>
    <w:rsid w:val="0015289C"/>
    <w:rsid w:val="00160328"/>
    <w:rsid w:val="00162A39"/>
    <w:rsid w:val="001942D8"/>
    <w:rsid w:val="00195AD7"/>
    <w:rsid w:val="001A3D8B"/>
    <w:rsid w:val="001B0D30"/>
    <w:rsid w:val="001E6525"/>
    <w:rsid w:val="001F4121"/>
    <w:rsid w:val="00234F42"/>
    <w:rsid w:val="00252800"/>
    <w:rsid w:val="0025737F"/>
    <w:rsid w:val="00287927"/>
    <w:rsid w:val="002933A9"/>
    <w:rsid w:val="002A3995"/>
    <w:rsid w:val="002C0615"/>
    <w:rsid w:val="002C42AF"/>
    <w:rsid w:val="002C598C"/>
    <w:rsid w:val="00301BFE"/>
    <w:rsid w:val="00310395"/>
    <w:rsid w:val="003313C6"/>
    <w:rsid w:val="00334E02"/>
    <w:rsid w:val="0034096B"/>
    <w:rsid w:val="00376979"/>
    <w:rsid w:val="003828C6"/>
    <w:rsid w:val="003B3055"/>
    <w:rsid w:val="003B5056"/>
    <w:rsid w:val="003C31FC"/>
    <w:rsid w:val="003D0500"/>
    <w:rsid w:val="003E5CD0"/>
    <w:rsid w:val="003F4A07"/>
    <w:rsid w:val="00411732"/>
    <w:rsid w:val="0043147C"/>
    <w:rsid w:val="004422D5"/>
    <w:rsid w:val="004446B2"/>
    <w:rsid w:val="00446FD1"/>
    <w:rsid w:val="00451165"/>
    <w:rsid w:val="0046002F"/>
    <w:rsid w:val="00484DE0"/>
    <w:rsid w:val="004B35EB"/>
    <w:rsid w:val="004E63EA"/>
    <w:rsid w:val="004F5AB2"/>
    <w:rsid w:val="00561B42"/>
    <w:rsid w:val="005649B3"/>
    <w:rsid w:val="00574D5A"/>
    <w:rsid w:val="00594887"/>
    <w:rsid w:val="005A626C"/>
    <w:rsid w:val="005B7F20"/>
    <w:rsid w:val="005D3AAA"/>
    <w:rsid w:val="005F365F"/>
    <w:rsid w:val="00642386"/>
    <w:rsid w:val="00651B61"/>
    <w:rsid w:val="0068597E"/>
    <w:rsid w:val="006B6B9E"/>
    <w:rsid w:val="006B704B"/>
    <w:rsid w:val="006D3622"/>
    <w:rsid w:val="006D6CE1"/>
    <w:rsid w:val="006F684F"/>
    <w:rsid w:val="00706F44"/>
    <w:rsid w:val="0072024A"/>
    <w:rsid w:val="0072740C"/>
    <w:rsid w:val="007302C4"/>
    <w:rsid w:val="007324A1"/>
    <w:rsid w:val="0073598B"/>
    <w:rsid w:val="00750EF2"/>
    <w:rsid w:val="00767DE3"/>
    <w:rsid w:val="00767F27"/>
    <w:rsid w:val="00796EE3"/>
    <w:rsid w:val="00797395"/>
    <w:rsid w:val="007A04EA"/>
    <w:rsid w:val="007D66EC"/>
    <w:rsid w:val="007E68EE"/>
    <w:rsid w:val="00802BA0"/>
    <w:rsid w:val="0080620F"/>
    <w:rsid w:val="00813F03"/>
    <w:rsid w:val="00842173"/>
    <w:rsid w:val="00847098"/>
    <w:rsid w:val="00864A58"/>
    <w:rsid w:val="008677B3"/>
    <w:rsid w:val="0089283D"/>
    <w:rsid w:val="008A6C61"/>
    <w:rsid w:val="008E353F"/>
    <w:rsid w:val="008E58A2"/>
    <w:rsid w:val="008F4C34"/>
    <w:rsid w:val="0091762E"/>
    <w:rsid w:val="009327AE"/>
    <w:rsid w:val="00934B1F"/>
    <w:rsid w:val="00943214"/>
    <w:rsid w:val="00943746"/>
    <w:rsid w:val="0095344B"/>
    <w:rsid w:val="0096491A"/>
    <w:rsid w:val="009A0132"/>
    <w:rsid w:val="009C45ED"/>
    <w:rsid w:val="00A02273"/>
    <w:rsid w:val="00A466F6"/>
    <w:rsid w:val="00A50EE2"/>
    <w:rsid w:val="00A65015"/>
    <w:rsid w:val="00A750A1"/>
    <w:rsid w:val="00A95D9C"/>
    <w:rsid w:val="00AA3384"/>
    <w:rsid w:val="00AC510D"/>
    <w:rsid w:val="00AE1D9A"/>
    <w:rsid w:val="00AE6B5B"/>
    <w:rsid w:val="00AF3367"/>
    <w:rsid w:val="00AF3667"/>
    <w:rsid w:val="00B00D05"/>
    <w:rsid w:val="00B33AAC"/>
    <w:rsid w:val="00B51653"/>
    <w:rsid w:val="00B519A1"/>
    <w:rsid w:val="00B543C5"/>
    <w:rsid w:val="00B5582D"/>
    <w:rsid w:val="00B84AA5"/>
    <w:rsid w:val="00B85880"/>
    <w:rsid w:val="00BB195F"/>
    <w:rsid w:val="00BB3DB6"/>
    <w:rsid w:val="00BB668F"/>
    <w:rsid w:val="00C075A5"/>
    <w:rsid w:val="00C22828"/>
    <w:rsid w:val="00C273E1"/>
    <w:rsid w:val="00C465FF"/>
    <w:rsid w:val="00C56C23"/>
    <w:rsid w:val="00C749C9"/>
    <w:rsid w:val="00CC45A0"/>
    <w:rsid w:val="00CC6107"/>
    <w:rsid w:val="00D05179"/>
    <w:rsid w:val="00D25D9A"/>
    <w:rsid w:val="00D611F6"/>
    <w:rsid w:val="00D87ECE"/>
    <w:rsid w:val="00D93A1B"/>
    <w:rsid w:val="00D94220"/>
    <w:rsid w:val="00D967C4"/>
    <w:rsid w:val="00DC4748"/>
    <w:rsid w:val="00DD0A34"/>
    <w:rsid w:val="00DD38B8"/>
    <w:rsid w:val="00DF2D5F"/>
    <w:rsid w:val="00E52F60"/>
    <w:rsid w:val="00EB1382"/>
    <w:rsid w:val="00EC1257"/>
    <w:rsid w:val="00EC70E7"/>
    <w:rsid w:val="00ED67CB"/>
    <w:rsid w:val="00EE510B"/>
    <w:rsid w:val="00EE7EA3"/>
    <w:rsid w:val="00F0111D"/>
    <w:rsid w:val="00F14430"/>
    <w:rsid w:val="00F275A3"/>
    <w:rsid w:val="00F27CE2"/>
    <w:rsid w:val="00F30F23"/>
    <w:rsid w:val="00F459F2"/>
    <w:rsid w:val="00F66AD6"/>
    <w:rsid w:val="00FF3382"/>
    <w:rsid w:val="00FF70AF"/>
  </w:rsids>
  <m:mathPr>
    <m:mathFont m:val="Lucida Grande"/>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2B2"/>
  </w:style>
  <w:style w:type="paragraph" w:styleId="Heading1">
    <w:name w:val="heading 1"/>
    <w:basedOn w:val="Quote"/>
    <w:next w:val="Normal"/>
    <w:link w:val="Heading1Char"/>
    <w:uiPriority w:val="9"/>
    <w:qFormat/>
    <w:rsid w:val="000B62B2"/>
    <w:pPr>
      <w:pBdr>
        <w:bottom w:val="single" w:sz="4" w:space="4" w:color="FF0000" w:themeColor="accent1"/>
      </w:pBdr>
      <w:spacing w:before="100" w:beforeAutospacing="1" w:after="100" w:afterAutospacing="1" w:line="240" w:lineRule="auto"/>
      <w:ind w:left="936" w:right="936"/>
      <w:outlineLvl w:val="0"/>
    </w:pPr>
    <w:rPr>
      <w:rFonts w:ascii="Times New Roman" w:eastAsia="Times New Roman" w:hAnsi="Times New Roman" w:cs="Times New Roman"/>
      <w:color w:val="FF0000" w:themeColor="text2"/>
      <w:kern w:val="36"/>
      <w:sz w:val="52"/>
      <w:szCs w:val="48"/>
      <w:lang w:eastAsia="fr-FR"/>
    </w:rPr>
  </w:style>
  <w:style w:type="paragraph" w:styleId="Heading2">
    <w:name w:val="heading 2"/>
    <w:basedOn w:val="Normal"/>
    <w:next w:val="Normal"/>
    <w:link w:val="Heading2Char"/>
    <w:uiPriority w:val="9"/>
    <w:unhideWhenUsed/>
    <w:qFormat/>
    <w:rsid w:val="000B62B2"/>
    <w:pPr>
      <w:keepNext/>
      <w:keepLines/>
      <w:spacing w:before="200" w:after="0"/>
      <w:outlineLvl w:val="1"/>
    </w:pPr>
    <w:rPr>
      <w:rFonts w:asciiTheme="majorHAnsi" w:eastAsiaTheme="majorEastAsia" w:hAnsiTheme="majorHAnsi" w:cstheme="majorBidi"/>
      <w:b/>
      <w:bCs/>
      <w:color w:val="FF0000"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0B62B2"/>
    <w:rPr>
      <w:rFonts w:ascii="Times New Roman" w:eastAsia="Times New Roman" w:hAnsi="Times New Roman" w:cs="Times New Roman"/>
      <w:i/>
      <w:iCs/>
      <w:color w:val="FF0000" w:themeColor="text2"/>
      <w:kern w:val="36"/>
      <w:sz w:val="52"/>
      <w:szCs w:val="48"/>
      <w:lang w:eastAsia="fr-FR"/>
    </w:rPr>
  </w:style>
  <w:style w:type="paragraph" w:styleId="Quote">
    <w:name w:val="Quote"/>
    <w:basedOn w:val="Normal"/>
    <w:next w:val="Normal"/>
    <w:link w:val="QuoteChar"/>
    <w:uiPriority w:val="29"/>
    <w:qFormat/>
    <w:rsid w:val="000B62B2"/>
    <w:rPr>
      <w:i/>
      <w:iCs/>
      <w:color w:val="000000" w:themeColor="text1"/>
    </w:rPr>
  </w:style>
  <w:style w:type="character" w:customStyle="1" w:styleId="QuoteChar">
    <w:name w:val="Quote Char"/>
    <w:basedOn w:val="DefaultParagraphFont"/>
    <w:link w:val="Quote"/>
    <w:uiPriority w:val="29"/>
    <w:rsid w:val="000B62B2"/>
    <w:rPr>
      <w:i/>
      <w:iCs/>
      <w:color w:val="000000" w:themeColor="text1"/>
    </w:rPr>
  </w:style>
  <w:style w:type="character" w:customStyle="1" w:styleId="Heading2Char">
    <w:name w:val="Heading 2 Char"/>
    <w:basedOn w:val="DefaultParagraphFont"/>
    <w:link w:val="Heading2"/>
    <w:uiPriority w:val="9"/>
    <w:rsid w:val="000B62B2"/>
    <w:rPr>
      <w:rFonts w:asciiTheme="majorHAnsi" w:eastAsiaTheme="majorEastAsia" w:hAnsiTheme="majorHAnsi" w:cstheme="majorBidi"/>
      <w:b/>
      <w:bCs/>
      <w:color w:val="FF0000" w:themeColor="accent1"/>
      <w:sz w:val="26"/>
      <w:szCs w:val="26"/>
    </w:rPr>
  </w:style>
  <w:style w:type="paragraph" w:styleId="Title">
    <w:name w:val="Title"/>
    <w:basedOn w:val="Normal"/>
    <w:next w:val="Normal"/>
    <w:link w:val="TitleChar"/>
    <w:uiPriority w:val="10"/>
    <w:qFormat/>
    <w:rsid w:val="000B62B2"/>
    <w:pPr>
      <w:pBdr>
        <w:bottom w:val="single" w:sz="8" w:space="4" w:color="FF0000" w:themeColor="accent1"/>
      </w:pBdr>
      <w:spacing w:after="300" w:line="240" w:lineRule="auto"/>
      <w:contextualSpacing/>
    </w:pPr>
    <w:rPr>
      <w:rFonts w:asciiTheme="majorHAnsi" w:eastAsiaTheme="majorEastAsia" w:hAnsiTheme="majorHAnsi" w:cstheme="majorBidi"/>
      <w:color w:val="BF0000" w:themeColor="text2" w:themeShade="BF"/>
      <w:spacing w:val="5"/>
      <w:kern w:val="28"/>
      <w:sz w:val="52"/>
      <w:szCs w:val="52"/>
    </w:rPr>
  </w:style>
  <w:style w:type="character" w:customStyle="1" w:styleId="TitleChar">
    <w:name w:val="Title Char"/>
    <w:basedOn w:val="DefaultParagraphFont"/>
    <w:link w:val="Title"/>
    <w:uiPriority w:val="10"/>
    <w:rsid w:val="000B62B2"/>
    <w:rPr>
      <w:rFonts w:asciiTheme="majorHAnsi" w:eastAsiaTheme="majorEastAsia" w:hAnsiTheme="majorHAnsi" w:cstheme="majorBidi"/>
      <w:color w:val="BF0000" w:themeColor="text2" w:themeShade="BF"/>
      <w:spacing w:val="5"/>
      <w:kern w:val="28"/>
      <w:sz w:val="52"/>
      <w:szCs w:val="52"/>
    </w:rPr>
  </w:style>
  <w:style w:type="character" w:styleId="Emphasis">
    <w:name w:val="Emphasis"/>
    <w:basedOn w:val="DefaultParagraphFont"/>
    <w:uiPriority w:val="20"/>
    <w:qFormat/>
    <w:rsid w:val="000B62B2"/>
    <w:rPr>
      <w:i/>
      <w:iCs/>
    </w:rPr>
  </w:style>
  <w:style w:type="paragraph" w:styleId="NoSpacing">
    <w:name w:val="No Spacing"/>
    <w:uiPriority w:val="1"/>
    <w:qFormat/>
    <w:rsid w:val="000B62B2"/>
    <w:pPr>
      <w:spacing w:after="0" w:line="240" w:lineRule="auto"/>
    </w:pPr>
  </w:style>
  <w:style w:type="paragraph" w:styleId="ListParagraph">
    <w:name w:val="List Paragraph"/>
    <w:basedOn w:val="Normal"/>
    <w:uiPriority w:val="34"/>
    <w:qFormat/>
    <w:rsid w:val="000B62B2"/>
    <w:pPr>
      <w:ind w:left="720"/>
      <w:contextualSpacing/>
    </w:pPr>
  </w:style>
  <w:style w:type="paragraph" w:styleId="IntenseQuote">
    <w:name w:val="Intense Quote"/>
    <w:basedOn w:val="Normal"/>
    <w:next w:val="Normal"/>
    <w:link w:val="IntenseQuoteChar"/>
    <w:uiPriority w:val="30"/>
    <w:qFormat/>
    <w:rsid w:val="000B62B2"/>
    <w:pPr>
      <w:pBdr>
        <w:bottom w:val="single" w:sz="4" w:space="4" w:color="FF0000" w:themeColor="accent1"/>
      </w:pBdr>
      <w:spacing w:before="200" w:after="280"/>
      <w:ind w:left="936" w:right="936"/>
    </w:pPr>
    <w:rPr>
      <w:b/>
      <w:bCs/>
      <w:i/>
      <w:iCs/>
      <w:color w:val="FF0000" w:themeColor="accent1"/>
    </w:rPr>
  </w:style>
  <w:style w:type="character" w:customStyle="1" w:styleId="IntenseQuoteChar">
    <w:name w:val="Intense Quote Char"/>
    <w:basedOn w:val="DefaultParagraphFont"/>
    <w:link w:val="IntenseQuote"/>
    <w:uiPriority w:val="30"/>
    <w:rsid w:val="000B62B2"/>
    <w:rPr>
      <w:b/>
      <w:bCs/>
      <w:i/>
      <w:iCs/>
      <w:color w:val="FF0000" w:themeColor="accent1"/>
    </w:rPr>
  </w:style>
  <w:style w:type="paragraph" w:styleId="TOCHeading">
    <w:name w:val="TOC Heading"/>
    <w:basedOn w:val="Heading1"/>
    <w:next w:val="Normal"/>
    <w:uiPriority w:val="39"/>
    <w:semiHidden/>
    <w:unhideWhenUsed/>
    <w:qFormat/>
    <w:rsid w:val="000B62B2"/>
    <w:pPr>
      <w:keepNext/>
      <w:keepLines/>
      <w:spacing w:before="480" w:beforeAutospacing="0" w:after="0" w:afterAutospacing="0" w:line="276" w:lineRule="auto"/>
      <w:outlineLvl w:val="9"/>
    </w:pPr>
    <w:rPr>
      <w:rFonts w:asciiTheme="majorHAnsi" w:eastAsiaTheme="majorEastAsia" w:hAnsiTheme="majorHAnsi" w:cstheme="majorBidi"/>
      <w:color w:val="BF0000" w:themeColor="accent1" w:themeShade="BF"/>
      <w:kern w:val="0"/>
      <w:sz w:val="28"/>
      <w:szCs w:val="28"/>
      <w:lang w:eastAsia="en-US"/>
    </w:rPr>
  </w:style>
  <w:style w:type="paragraph" w:styleId="BalloonText">
    <w:name w:val="Balloon Text"/>
    <w:basedOn w:val="Normal"/>
    <w:link w:val="BalloonTextChar"/>
    <w:uiPriority w:val="99"/>
    <w:semiHidden/>
    <w:unhideWhenUsed/>
    <w:rsid w:val="00767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DE3"/>
    <w:rPr>
      <w:rFonts w:ascii="Tahoma" w:hAnsi="Tahoma" w:cs="Tahoma"/>
      <w:sz w:val="16"/>
      <w:szCs w:val="16"/>
    </w:rPr>
  </w:style>
  <w:style w:type="paragraph" w:styleId="Header">
    <w:name w:val="header"/>
    <w:basedOn w:val="Normal"/>
    <w:link w:val="HeaderChar"/>
    <w:uiPriority w:val="99"/>
    <w:semiHidden/>
    <w:unhideWhenUsed/>
    <w:rsid w:val="00D25D9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25D9A"/>
  </w:style>
  <w:style w:type="paragraph" w:styleId="Footer">
    <w:name w:val="footer"/>
    <w:basedOn w:val="Normal"/>
    <w:link w:val="FooterChar"/>
    <w:uiPriority w:val="99"/>
    <w:unhideWhenUsed/>
    <w:rsid w:val="00D25D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5D9A"/>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Personnalisé 25">
      <a:dk1>
        <a:sysClr val="windowText" lastClr="000000"/>
      </a:dk1>
      <a:lt1>
        <a:sysClr val="window" lastClr="FFFFFF"/>
      </a:lt1>
      <a:dk2>
        <a:srgbClr val="FF0000"/>
      </a:dk2>
      <a:lt2>
        <a:srgbClr val="EEECE1"/>
      </a:lt2>
      <a:accent1>
        <a:srgbClr val="FF0000"/>
      </a:accent1>
      <a:accent2>
        <a:srgbClr val="FF00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6</Pages>
  <Words>2015</Words>
  <Characters>9930</Characters>
  <Application>Microsoft Word 12.0.0</Application>
  <DocSecurity>0</DocSecurity>
  <Lines>200</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11860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GEA Nantes</cp:lastModifiedBy>
  <cp:revision>153</cp:revision>
  <dcterms:created xsi:type="dcterms:W3CDTF">2011-02-03T19:52:00Z</dcterms:created>
  <dcterms:modified xsi:type="dcterms:W3CDTF">2012-03-10T17:47:00Z</dcterms:modified>
  <cp:category/>
</cp:coreProperties>
</file>