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71957" w:rsidRPr="0061671F" w:rsidRDefault="00C149B5" w:rsidP="00061CE7">
      <w:pPr>
        <w:jc w:val="center"/>
        <w:outlineLvl w:val="0"/>
        <w:rPr>
          <w:b/>
        </w:rPr>
      </w:pPr>
      <w:r>
        <w:rPr>
          <w:b/>
        </w:rPr>
        <w:t>Droit de la concurrence</w:t>
      </w:r>
      <w:r w:rsidR="00971957" w:rsidRPr="0061671F">
        <w:rPr>
          <w:b/>
        </w:rPr>
        <w:t xml:space="preserve"> </w:t>
      </w:r>
    </w:p>
    <w:p w:rsidR="00971957" w:rsidRDefault="00971957" w:rsidP="00971957">
      <w:pPr>
        <w:jc w:val="center"/>
      </w:pPr>
    </w:p>
    <w:p w:rsidR="00971957" w:rsidRPr="0061671F" w:rsidRDefault="0051148E" w:rsidP="00061CE7">
      <w:pPr>
        <w:jc w:val="center"/>
        <w:outlineLvl w:val="0"/>
        <w:rPr>
          <w:b/>
          <w:color w:val="FF0080"/>
        </w:rPr>
      </w:pPr>
      <w:r>
        <w:rPr>
          <w:b/>
          <w:color w:val="FF0080"/>
        </w:rPr>
        <w:t>TRAVAIL DIRIGE N°2</w:t>
      </w:r>
    </w:p>
    <w:p w:rsidR="00271E76" w:rsidRDefault="00271E76"/>
    <w:p w:rsidR="00971957" w:rsidRDefault="00971957"/>
    <w:p w:rsidR="00666B5D" w:rsidRPr="0051148E" w:rsidRDefault="0051148E" w:rsidP="00061CE7">
      <w:pPr>
        <w:outlineLvl w:val="0"/>
        <w:rPr>
          <w:b/>
          <w:color w:val="FF0080"/>
        </w:rPr>
      </w:pPr>
      <w:r w:rsidRPr="0051148E">
        <w:rPr>
          <w:b/>
          <w:color w:val="FF0080"/>
        </w:rPr>
        <w:t>Questions à développer</w:t>
      </w:r>
    </w:p>
    <w:p w:rsidR="0051148E" w:rsidRDefault="0051148E" w:rsidP="0051148E"/>
    <w:p w:rsidR="0051148E" w:rsidRDefault="0051148E" w:rsidP="0051148E">
      <w:pPr>
        <w:pStyle w:val="ListParagraph"/>
        <w:numPr>
          <w:ilvl w:val="0"/>
          <w:numId w:val="11"/>
        </w:numPr>
      </w:pPr>
      <w:r>
        <w:t xml:space="preserve">De quel(s) type(s) de sanction(s) les </w:t>
      </w:r>
      <w:r w:rsidRPr="009629CC">
        <w:rPr>
          <w:b/>
          <w:color w:val="FF0000"/>
        </w:rPr>
        <w:t>pratiques restrictives</w:t>
      </w:r>
      <w:r>
        <w:t xml:space="preserve"> peuvent-elles être passibles ?</w:t>
      </w:r>
    </w:p>
    <w:p w:rsidR="0051148E" w:rsidRDefault="0051148E" w:rsidP="0051148E">
      <w:pPr>
        <w:pStyle w:val="ListParagraph"/>
        <w:numPr>
          <w:ilvl w:val="0"/>
          <w:numId w:val="11"/>
        </w:numPr>
      </w:pPr>
      <w:r>
        <w:t>Quel est le principal apport du la loi du 4 août 2008 en matière de pratiques restrictives ?</w:t>
      </w:r>
    </w:p>
    <w:p w:rsidR="001A2F28" w:rsidRDefault="001A2F28" w:rsidP="0051148E"/>
    <w:p w:rsidR="001A2F28" w:rsidRDefault="001A2F28" w:rsidP="0051148E"/>
    <w:p w:rsidR="0051148E" w:rsidRDefault="0051148E" w:rsidP="001A2F28">
      <w:pPr>
        <w:pStyle w:val="ListParagraph"/>
        <w:numPr>
          <w:ilvl w:val="0"/>
          <w:numId w:val="16"/>
        </w:numPr>
        <w:ind w:left="0"/>
      </w:pPr>
      <w:r w:rsidRPr="001A2F28">
        <w:rPr>
          <w:u w:val="single"/>
        </w:rPr>
        <w:t>Pratiques restrictives</w:t>
      </w:r>
      <w:r>
        <w:t> :</w:t>
      </w:r>
    </w:p>
    <w:p w:rsidR="0051148E" w:rsidRDefault="0051148E" w:rsidP="0051148E"/>
    <w:p w:rsidR="0051148E" w:rsidRDefault="001A2F28" w:rsidP="001A2F28">
      <w:pPr>
        <w:pStyle w:val="ListParagraph"/>
      </w:pPr>
      <w:r>
        <w:rPr>
          <w:b/>
          <w:color w:val="FF0080"/>
        </w:rPr>
        <w:t xml:space="preserve"> </w:t>
      </w:r>
      <w:r w:rsidR="0051148E" w:rsidRPr="001A2F28">
        <w:rPr>
          <w:color w:val="FF0080"/>
        </w:rPr>
        <w:sym w:font="Symbol" w:char="F044"/>
      </w:r>
      <w:r w:rsidR="0051148E">
        <w:t xml:space="preserve">    Les CNC</w:t>
      </w:r>
    </w:p>
    <w:p w:rsidR="0051148E" w:rsidRDefault="001A2F28" w:rsidP="001A2F28">
      <w:pPr>
        <w:pStyle w:val="ListParagraph"/>
      </w:pPr>
      <w:r>
        <w:rPr>
          <w:b/>
          <w:color w:val="FF0080"/>
        </w:rPr>
        <w:t xml:space="preserve"> </w:t>
      </w:r>
      <w:r w:rsidR="0051148E" w:rsidRPr="001A2F28">
        <w:rPr>
          <w:color w:val="FF0080"/>
        </w:rPr>
        <w:sym w:font="Symbol" w:char="F044"/>
      </w:r>
      <w:r w:rsidR="0051148E">
        <w:t xml:space="preserve">    Le refus de contracter</w:t>
      </w:r>
    </w:p>
    <w:p w:rsidR="0051148E" w:rsidRDefault="0051148E" w:rsidP="001A2F28">
      <w:pPr>
        <w:pStyle w:val="ListParagraph"/>
        <w:numPr>
          <w:ilvl w:val="0"/>
          <w:numId w:val="20"/>
        </w:numPr>
        <w:ind w:left="1134"/>
      </w:pPr>
      <w:r>
        <w:t>La revente à perte</w:t>
      </w:r>
    </w:p>
    <w:p w:rsidR="0051148E" w:rsidRDefault="0051148E" w:rsidP="001A2F28">
      <w:pPr>
        <w:pStyle w:val="ListParagraph"/>
        <w:numPr>
          <w:ilvl w:val="0"/>
          <w:numId w:val="20"/>
        </w:numPr>
        <w:ind w:left="1134"/>
      </w:pPr>
      <w:r>
        <w:t>Les prix imposés</w:t>
      </w:r>
    </w:p>
    <w:p w:rsidR="0051148E" w:rsidRDefault="001A2F28" w:rsidP="001A2F28">
      <w:pPr>
        <w:pStyle w:val="ListParagraph"/>
      </w:pPr>
      <w:r>
        <w:rPr>
          <w:b/>
          <w:color w:val="FF0080"/>
        </w:rPr>
        <w:t xml:space="preserve"> </w:t>
      </w:r>
      <w:r w:rsidR="0051148E" w:rsidRPr="001A2F28">
        <w:rPr>
          <w:color w:val="FF0080"/>
        </w:rPr>
        <w:sym w:font="Symbol" w:char="F044"/>
      </w:r>
      <w:r w:rsidR="0051148E">
        <w:t xml:space="preserve">    Les ententes et positions dominantes</w:t>
      </w:r>
    </w:p>
    <w:p w:rsidR="0051148E" w:rsidRDefault="0051148E" w:rsidP="0051148E"/>
    <w:p w:rsidR="0051148E" w:rsidRDefault="0051148E" w:rsidP="00061CE7">
      <w:pPr>
        <w:pStyle w:val="ListParagraph"/>
        <w:outlineLvl w:val="0"/>
      </w:pPr>
      <w:r w:rsidRPr="001A2F28">
        <w:rPr>
          <w:u w:val="single"/>
        </w:rPr>
        <w:t>Dualité de sanction</w:t>
      </w:r>
      <w:r w:rsidRPr="0051148E">
        <w:t> </w:t>
      </w:r>
      <w:r>
        <w:t>:</w:t>
      </w:r>
    </w:p>
    <w:p w:rsidR="0051148E" w:rsidRDefault="0051148E" w:rsidP="0051148E"/>
    <w:p w:rsidR="0051148E" w:rsidRDefault="001A2F28" w:rsidP="001A2F28">
      <w:pPr>
        <w:pStyle w:val="ListParagraph"/>
      </w:pPr>
      <w:r>
        <w:rPr>
          <w:b/>
          <w:color w:val="FF0080"/>
        </w:rPr>
        <w:t xml:space="preserve"> </w:t>
      </w:r>
      <w:r w:rsidR="0051148E" w:rsidRPr="001A2F28">
        <w:rPr>
          <w:color w:val="FF0080"/>
        </w:rPr>
        <w:sym w:font="Symbol" w:char="F044"/>
      </w:r>
      <w:r w:rsidR="0051148E">
        <w:t xml:space="preserve">    Sanctions civiles : </w:t>
      </w:r>
    </w:p>
    <w:p w:rsidR="0051148E" w:rsidRDefault="0051148E" w:rsidP="0051148E"/>
    <w:p w:rsidR="0051148E" w:rsidRDefault="0051148E" w:rsidP="001A2F28">
      <w:pPr>
        <w:pStyle w:val="ListParagraph"/>
        <w:numPr>
          <w:ilvl w:val="0"/>
          <w:numId w:val="17"/>
        </w:numPr>
      </w:pPr>
      <w:r>
        <w:t>T</w:t>
      </w:r>
      <w:r w:rsidR="001A2F28">
        <w:t xml:space="preserve">ribunal de </w:t>
      </w:r>
      <w:r>
        <w:t>C</w:t>
      </w:r>
      <w:r w:rsidR="001A2F28">
        <w:t>ommerce</w:t>
      </w:r>
      <w:r>
        <w:t xml:space="preserve"> (refus de contracter, CNC dans le cadre de vente de FC)</w:t>
      </w:r>
    </w:p>
    <w:p w:rsidR="0051148E" w:rsidRDefault="001A2F28" w:rsidP="001A2F28">
      <w:pPr>
        <w:pStyle w:val="ListParagraph"/>
        <w:numPr>
          <w:ilvl w:val="0"/>
          <w:numId w:val="17"/>
        </w:numPr>
      </w:pPr>
      <w:r>
        <w:t>Conseil des Prud’hommes</w:t>
      </w:r>
      <w:r w:rsidR="0051148E">
        <w:t xml:space="preserve"> </w:t>
      </w:r>
    </w:p>
    <w:p w:rsidR="0051148E" w:rsidRDefault="0051148E" w:rsidP="001A2F28">
      <w:pPr>
        <w:pStyle w:val="ListParagraph"/>
        <w:numPr>
          <w:ilvl w:val="0"/>
          <w:numId w:val="17"/>
        </w:numPr>
      </w:pPr>
      <w:r>
        <w:t>Conseil de la Concurrence (ententes et positions dominantes)</w:t>
      </w:r>
    </w:p>
    <w:p w:rsidR="0051148E" w:rsidRDefault="0051148E" w:rsidP="0051148E"/>
    <w:p w:rsidR="0051148E" w:rsidRDefault="0051148E" w:rsidP="001A2F28">
      <w:pPr>
        <w:pStyle w:val="ListParagraph"/>
        <w:numPr>
          <w:ilvl w:val="0"/>
          <w:numId w:val="19"/>
        </w:numPr>
        <w:ind w:left="1134"/>
      </w:pPr>
      <w:r>
        <w:t>Sanctions pénales</w:t>
      </w:r>
      <w:r w:rsidR="001A2F28">
        <w:t xml:space="preserve"> : </w:t>
      </w:r>
    </w:p>
    <w:p w:rsidR="001A2F28" w:rsidRDefault="001A2F28" w:rsidP="001A2F28">
      <w:pPr>
        <w:pStyle w:val="ListParagraph"/>
      </w:pPr>
    </w:p>
    <w:p w:rsidR="001A2F28" w:rsidRDefault="001A2F28" w:rsidP="001A2F28">
      <w:pPr>
        <w:pStyle w:val="ListParagraph"/>
        <w:numPr>
          <w:ilvl w:val="0"/>
          <w:numId w:val="18"/>
        </w:numPr>
      </w:pPr>
      <w:r>
        <w:t>Tribunal Pénal (prix imposés et revente à perte)</w:t>
      </w:r>
    </w:p>
    <w:p w:rsidR="001A2F28" w:rsidRDefault="001A2F28" w:rsidP="001A2F28"/>
    <w:p w:rsidR="001A2F28" w:rsidRDefault="001A2F28" w:rsidP="001A2F28"/>
    <w:p w:rsidR="001A2F28" w:rsidRDefault="001A2F28" w:rsidP="001A2F28"/>
    <w:p w:rsidR="001A2F28" w:rsidRDefault="001A2F28" w:rsidP="001A2F28">
      <w:pPr>
        <w:pStyle w:val="ListParagraph"/>
        <w:numPr>
          <w:ilvl w:val="0"/>
          <w:numId w:val="16"/>
        </w:numPr>
        <w:ind w:left="0"/>
      </w:pPr>
      <w:r>
        <w:t>Loi du 4 août 2008 :</w:t>
      </w:r>
    </w:p>
    <w:p w:rsidR="001A2F28" w:rsidRDefault="001A2F28" w:rsidP="001A2F28">
      <w:pPr>
        <w:pStyle w:val="ListParagraph"/>
        <w:ind w:left="0"/>
      </w:pPr>
    </w:p>
    <w:p w:rsidR="001A2F28" w:rsidRDefault="00BF28AA" w:rsidP="001A2F28">
      <w:pPr>
        <w:pStyle w:val="ListParagraph"/>
        <w:numPr>
          <w:ilvl w:val="0"/>
          <w:numId w:val="21"/>
        </w:numPr>
        <w:ind w:left="1134"/>
      </w:pPr>
      <w:r>
        <w:t>A</w:t>
      </w:r>
      <w:r w:rsidR="001A2F28">
        <w:t>ggravation des sanctions passibles pour les pratiques restrictives</w:t>
      </w:r>
    </w:p>
    <w:p w:rsidR="001A2F28" w:rsidRDefault="00BF28AA" w:rsidP="001A2F28">
      <w:pPr>
        <w:pStyle w:val="ListParagraph"/>
        <w:numPr>
          <w:ilvl w:val="0"/>
          <w:numId w:val="21"/>
        </w:numPr>
        <w:ind w:left="1134"/>
      </w:pPr>
      <w:r>
        <w:t>R</w:t>
      </w:r>
      <w:r w:rsidR="001A2F28">
        <w:t>enforcement du contrôle</w:t>
      </w:r>
    </w:p>
    <w:p w:rsidR="001A2F28" w:rsidRDefault="001A2F28" w:rsidP="001A2F28">
      <w:pPr>
        <w:pStyle w:val="ListParagraph"/>
        <w:numPr>
          <w:ilvl w:val="0"/>
          <w:numId w:val="21"/>
        </w:numPr>
        <w:ind w:left="1134"/>
      </w:pPr>
      <w:r>
        <w:t>Lutte contre la discrimination abusive dans les délais accordés aux paiements</w:t>
      </w:r>
    </w:p>
    <w:p w:rsidR="001A2F28" w:rsidRDefault="001A2F28" w:rsidP="001A2F28"/>
    <w:p w:rsidR="001A2F28" w:rsidRDefault="001A2F28" w:rsidP="001A2F28">
      <w:pPr>
        <w:pStyle w:val="ListParagraph"/>
        <w:numPr>
          <w:ilvl w:val="0"/>
          <w:numId w:val="22"/>
        </w:numPr>
      </w:pPr>
      <w:r>
        <w:t>En cas de non-respect, la sanction sera aggravée</w:t>
      </w:r>
      <w:r w:rsidR="00BF28AA">
        <w:t>.</w:t>
      </w:r>
    </w:p>
    <w:p w:rsidR="003002B8" w:rsidRDefault="003002B8" w:rsidP="003002B8"/>
    <w:p w:rsidR="003002B8" w:rsidRDefault="003002B8" w:rsidP="003002B8"/>
    <w:p w:rsidR="00BF28AA" w:rsidRDefault="00BF28AA" w:rsidP="003002B8">
      <w:pPr>
        <w:rPr>
          <w:b/>
          <w:color w:val="FF0080"/>
        </w:rPr>
      </w:pPr>
    </w:p>
    <w:p w:rsidR="00BF28AA" w:rsidRDefault="00BF28AA" w:rsidP="003002B8">
      <w:pPr>
        <w:rPr>
          <w:b/>
          <w:color w:val="FF0080"/>
        </w:rPr>
      </w:pPr>
    </w:p>
    <w:p w:rsidR="00BF28AA" w:rsidRDefault="00BF28AA" w:rsidP="003002B8">
      <w:pPr>
        <w:rPr>
          <w:b/>
          <w:color w:val="FF0080"/>
        </w:rPr>
      </w:pPr>
    </w:p>
    <w:p w:rsidR="00BF28AA" w:rsidRDefault="00BF28AA" w:rsidP="003002B8">
      <w:pPr>
        <w:rPr>
          <w:b/>
          <w:color w:val="FF0080"/>
        </w:rPr>
      </w:pPr>
    </w:p>
    <w:p w:rsidR="00BF28AA" w:rsidRDefault="00BF28AA" w:rsidP="003002B8">
      <w:pPr>
        <w:rPr>
          <w:b/>
          <w:color w:val="FF0080"/>
        </w:rPr>
      </w:pPr>
    </w:p>
    <w:p w:rsidR="00BF28AA" w:rsidRDefault="00BF28AA" w:rsidP="003002B8">
      <w:pPr>
        <w:rPr>
          <w:b/>
          <w:color w:val="FF0080"/>
        </w:rPr>
      </w:pPr>
    </w:p>
    <w:p w:rsidR="00BF28AA" w:rsidRDefault="00BF28AA" w:rsidP="003002B8">
      <w:pPr>
        <w:rPr>
          <w:b/>
          <w:color w:val="FF0080"/>
        </w:rPr>
      </w:pPr>
    </w:p>
    <w:p w:rsidR="00BF28AA" w:rsidRDefault="00BF28AA" w:rsidP="003002B8">
      <w:pPr>
        <w:rPr>
          <w:b/>
          <w:color w:val="FF0080"/>
        </w:rPr>
      </w:pPr>
    </w:p>
    <w:p w:rsidR="00BF28AA" w:rsidRDefault="00BF28AA" w:rsidP="003002B8">
      <w:pPr>
        <w:rPr>
          <w:b/>
          <w:color w:val="FF0080"/>
        </w:rPr>
      </w:pPr>
    </w:p>
    <w:p w:rsidR="003002B8" w:rsidRPr="003002B8" w:rsidRDefault="003002B8" w:rsidP="00061CE7">
      <w:pPr>
        <w:outlineLvl w:val="0"/>
        <w:rPr>
          <w:b/>
          <w:color w:val="FF0080"/>
        </w:rPr>
      </w:pPr>
      <w:r w:rsidRPr="003002B8">
        <w:rPr>
          <w:b/>
          <w:color w:val="FF0080"/>
        </w:rPr>
        <w:t>Cas n°1</w:t>
      </w:r>
    </w:p>
    <w:p w:rsidR="001A2F28" w:rsidRDefault="001A2F28" w:rsidP="001A2F28"/>
    <w:p w:rsidR="003002B8" w:rsidRDefault="003002B8" w:rsidP="0051148E"/>
    <w:p w:rsidR="0051148E" w:rsidRDefault="003002B8" w:rsidP="00061CE7">
      <w:pPr>
        <w:outlineLvl w:val="0"/>
      </w:pPr>
      <w:r>
        <w:t>Limite dans le temps : Deux ans</w:t>
      </w:r>
    </w:p>
    <w:p w:rsidR="003002B8" w:rsidRDefault="003002B8" w:rsidP="0051148E">
      <w:r>
        <w:t>Limite dans l’espace : ?</w:t>
      </w:r>
    </w:p>
    <w:p w:rsidR="003002B8" w:rsidRDefault="003002B8" w:rsidP="0051148E">
      <w:r>
        <w:t>Limite sur l’objet</w:t>
      </w:r>
      <w:r w:rsidR="005F625A">
        <w:t xml:space="preserve"> de la CNC</w:t>
      </w:r>
      <w:r>
        <w:t xml:space="preserve"> : </w:t>
      </w:r>
      <w:r w:rsidR="001406DF">
        <w:t>Oui</w:t>
      </w:r>
    </w:p>
    <w:p w:rsidR="001406DF" w:rsidRDefault="001406DF" w:rsidP="0051148E">
      <w:r>
        <w:t xml:space="preserve">Intérêt légitime : </w:t>
      </w:r>
    </w:p>
    <w:p w:rsidR="001406DF" w:rsidRDefault="001406DF" w:rsidP="0051148E"/>
    <w:p w:rsidR="001406DF" w:rsidRDefault="001406DF" w:rsidP="00061CE7">
      <w:pPr>
        <w:outlineLvl w:val="0"/>
      </w:pPr>
      <w:r>
        <w:t>Le savoir-faire d’une entreprise est protégé même s’il n’y a pas de CNC.</w:t>
      </w:r>
    </w:p>
    <w:p w:rsidR="001406DF" w:rsidRDefault="001406DF" w:rsidP="0051148E"/>
    <w:p w:rsidR="001406DF" w:rsidRDefault="001406DF" w:rsidP="0051148E">
      <w:r>
        <w:t>M. Fog peut demander une révision judiciaire de la CNC, le juge pourra procéder à une réduction du champ d’application dans l’espace).</w:t>
      </w:r>
    </w:p>
    <w:p w:rsidR="0051148E" w:rsidRDefault="0051148E" w:rsidP="0051148E"/>
    <w:p w:rsidR="005F625A" w:rsidRPr="003002B8" w:rsidRDefault="005F625A" w:rsidP="00061CE7">
      <w:pPr>
        <w:outlineLvl w:val="0"/>
        <w:rPr>
          <w:b/>
          <w:color w:val="FF0080"/>
        </w:rPr>
      </w:pPr>
      <w:r>
        <w:rPr>
          <w:b/>
          <w:color w:val="FF0080"/>
        </w:rPr>
        <w:t>Cas n°2</w:t>
      </w:r>
    </w:p>
    <w:p w:rsidR="005F625A" w:rsidRDefault="005F625A" w:rsidP="0051148E"/>
    <w:p w:rsidR="005F625A" w:rsidRDefault="005F625A" w:rsidP="00061CE7">
      <w:pPr>
        <w:outlineLvl w:val="0"/>
      </w:pPr>
      <w:r>
        <w:t>Limite dans le temps : 5 ans</w:t>
      </w:r>
    </w:p>
    <w:p w:rsidR="005F625A" w:rsidRDefault="005F625A" w:rsidP="005F625A">
      <w:r>
        <w:t>Limite dans l’espace : tout département où Pluproprekepropre créerait et exploiterait une agence</w:t>
      </w:r>
    </w:p>
    <w:p w:rsidR="005F625A" w:rsidRDefault="005F625A" w:rsidP="005F625A">
      <w:r>
        <w:t>Limite sur l’o</w:t>
      </w:r>
      <w:bookmarkStart w:id="0" w:name="_GoBack"/>
      <w:bookmarkEnd w:id="0"/>
      <w:r>
        <w:t>bjet de la CNC : Oui</w:t>
      </w:r>
    </w:p>
    <w:p w:rsidR="005F625A" w:rsidRDefault="005F625A" w:rsidP="005F625A">
      <w:r>
        <w:t xml:space="preserve">Intérêt légitime : </w:t>
      </w:r>
      <w:r w:rsidR="005A1A63">
        <w:t>Non</w:t>
      </w:r>
    </w:p>
    <w:p w:rsidR="005A1A63" w:rsidRDefault="005A1A63" w:rsidP="005F625A"/>
    <w:p w:rsidR="005A1A63" w:rsidRDefault="005A1A63" w:rsidP="00061CE7">
      <w:pPr>
        <w:outlineLvl w:val="0"/>
      </w:pPr>
      <w:r>
        <w:t>L’action judiciaire de Mr Propre ne peut aboutir car il n’a aucun intérêt légitime dans cette CNC.</w:t>
      </w:r>
    </w:p>
    <w:p w:rsidR="005F625A" w:rsidRDefault="005F625A" w:rsidP="0051148E"/>
    <w:p w:rsidR="006C391B" w:rsidRPr="003002B8" w:rsidRDefault="006C391B" w:rsidP="00061CE7">
      <w:pPr>
        <w:outlineLvl w:val="0"/>
        <w:rPr>
          <w:b/>
          <w:color w:val="FF0080"/>
        </w:rPr>
      </w:pPr>
      <w:r>
        <w:rPr>
          <w:b/>
          <w:color w:val="FF0080"/>
        </w:rPr>
        <w:t>Cas n°3</w:t>
      </w:r>
    </w:p>
    <w:p w:rsidR="006C391B" w:rsidRDefault="006C391B" w:rsidP="0051148E"/>
    <w:p w:rsidR="006C391B" w:rsidRDefault="006C391B" w:rsidP="0051148E">
      <w:r>
        <w:t>Y</w:t>
      </w:r>
      <w:r w:rsidR="00BF28AA">
        <w:t>oupla a vendu son FDC à Boum</w:t>
      </w:r>
      <w:r>
        <w:t xml:space="preserve"> en 2007 avec Prosper comme client unique.</w:t>
      </w:r>
    </w:p>
    <w:p w:rsidR="006C391B" w:rsidRDefault="006C391B" w:rsidP="0051148E">
      <w:r>
        <w:t>Création « Equipement Luxe et Sport » avec Youpla comme gérant qui vend à Prosper.</w:t>
      </w:r>
    </w:p>
    <w:p w:rsidR="006C391B" w:rsidRDefault="006C391B" w:rsidP="0051148E"/>
    <w:p w:rsidR="006C391B" w:rsidRDefault="006C391B" w:rsidP="0051148E"/>
    <w:p w:rsidR="00363B0B" w:rsidRDefault="00506743" w:rsidP="0051148E">
      <w:r w:rsidRPr="00506743">
        <w:rPr>
          <w:b/>
          <w:color w:val="000090"/>
        </w:rPr>
        <w:t>Garantie légale d’éviction</w:t>
      </w:r>
      <w:r>
        <w:t xml:space="preserve"> = le vendeur du FDC a le devoir de s’abstenir de tout acte ayant pour objet de déto</w:t>
      </w:r>
      <w:r w:rsidR="00363B0B">
        <w:t xml:space="preserve">urner la clientèle du FDC vendu, elle dure 2 ans maximum. Elle est </w:t>
      </w:r>
      <w:r w:rsidR="00363B0B" w:rsidRPr="00BF28AA">
        <w:rPr>
          <w:u w:val="single"/>
        </w:rPr>
        <w:t>acquise de droit et tous les acteurs concernés peuvent s’en prévaloir devant la justice</w:t>
      </w:r>
      <w:r w:rsidR="00363B0B">
        <w:t>.</w:t>
      </w:r>
    </w:p>
    <w:p w:rsidR="00363B0B" w:rsidRDefault="00363B0B" w:rsidP="0051148E"/>
    <w:p w:rsidR="006C391B" w:rsidRDefault="00363B0B" w:rsidP="0051148E">
      <w:r>
        <w:t xml:space="preserve">La CNC, elle, qui est à prévoir dans le contrat </w:t>
      </w:r>
      <w:r w:rsidRPr="00BF28AA">
        <w:rPr>
          <w:u w:val="single"/>
        </w:rPr>
        <w:t>permet de dépasser la durée prévue par la GLE</w:t>
      </w:r>
      <w:r>
        <w:t>. Elle suppose un accord mutuel des 2 parties pour s’appliquer. Si l’employé soumis au contrat de travail refuse de signer cette clause, l’entreprise optera pour un licenciement.</w:t>
      </w:r>
    </w:p>
    <w:p w:rsidR="00506743" w:rsidRDefault="00506743" w:rsidP="0051148E"/>
    <w:p w:rsidR="00506743" w:rsidRDefault="00506743" w:rsidP="00061CE7">
      <w:pPr>
        <w:outlineLvl w:val="0"/>
      </w:pPr>
      <w:r>
        <w:t>Limite dans le temps : 3 ans</w:t>
      </w:r>
    </w:p>
    <w:p w:rsidR="00506743" w:rsidRDefault="00506743" w:rsidP="0051148E">
      <w:r>
        <w:t>Limite dans l’espace : autour de Nantes</w:t>
      </w:r>
    </w:p>
    <w:p w:rsidR="00506743" w:rsidRDefault="00506743" w:rsidP="0051148E">
      <w:r>
        <w:t>Limite s</w:t>
      </w:r>
      <w:r w:rsidR="00001080">
        <w:t>u</w:t>
      </w:r>
      <w:r>
        <w:t>r l’objet de la CNC : Oui</w:t>
      </w:r>
    </w:p>
    <w:p w:rsidR="00506743" w:rsidRDefault="00506743" w:rsidP="0051148E">
      <w:r>
        <w:t>Intérêt légitime : Oui</w:t>
      </w:r>
    </w:p>
    <w:p w:rsidR="00506743" w:rsidRDefault="00506743" w:rsidP="0051148E"/>
    <w:p w:rsidR="00506743" w:rsidRDefault="00001080" w:rsidP="00061CE7">
      <w:pPr>
        <w:outlineLvl w:val="0"/>
      </w:pPr>
      <w:r w:rsidRPr="007E6C0E">
        <w:rPr>
          <w:u w:val="single"/>
        </w:rPr>
        <w:t>Sanctions</w:t>
      </w:r>
      <w:r w:rsidRPr="007E6C0E">
        <w:t> </w:t>
      </w:r>
      <w:r>
        <w:t xml:space="preserve">: </w:t>
      </w:r>
    </w:p>
    <w:p w:rsidR="00001080" w:rsidRDefault="00001080" w:rsidP="00061CE7">
      <w:pPr>
        <w:outlineLvl w:val="0"/>
      </w:pPr>
      <w:r>
        <w:t>Fermeture de l’établissement</w:t>
      </w:r>
    </w:p>
    <w:p w:rsidR="00001080" w:rsidRDefault="00001080" w:rsidP="0051148E">
      <w:r>
        <w:t>Dommages et intérêts</w:t>
      </w:r>
    </w:p>
    <w:p w:rsidR="00001080" w:rsidRDefault="00001080" w:rsidP="0051148E"/>
    <w:p w:rsidR="00001080" w:rsidRDefault="00001080" w:rsidP="0051148E">
      <w:r>
        <w:t>Si Boum vendait le FDC à une société X avant la fin des trois ans</w:t>
      </w:r>
      <w:r w:rsidR="007E6C0E">
        <w:t xml:space="preserve">, il y a un </w:t>
      </w:r>
      <w:r w:rsidR="007E6C0E" w:rsidRPr="007E6C0E">
        <w:rPr>
          <w:b/>
          <w:color w:val="000090"/>
        </w:rPr>
        <w:t>principe de transmission des droits rattachés au FDC</w:t>
      </w:r>
      <w:r w:rsidR="007E6C0E">
        <w:t>. Ainsi, la société X pourrait poursuivre en justice « Equipement Luxe et Sport » au titre de cette CNC et de la GLE.</w:t>
      </w:r>
    </w:p>
    <w:sectPr w:rsidR="00001080" w:rsidSect="001A2F28">
      <w:headerReference w:type="default" r:id="rId7"/>
      <w:pgSz w:w="11900" w:h="16840"/>
      <w:pgMar w:top="993" w:right="701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9629CC" w:rsidRDefault="009629CC" w:rsidP="00971957">
      <w:r>
        <w:separator/>
      </w:r>
    </w:p>
  </w:endnote>
  <w:endnote w:type="continuationSeparator" w:id="1">
    <w:p w:rsidR="009629CC" w:rsidRDefault="009629CC" w:rsidP="00971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9629CC" w:rsidRDefault="009629CC" w:rsidP="00971957">
      <w:r>
        <w:separator/>
      </w:r>
    </w:p>
  </w:footnote>
  <w:footnote w:type="continuationSeparator" w:id="1">
    <w:p w:rsidR="009629CC" w:rsidRDefault="009629CC" w:rsidP="00971957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629CC" w:rsidRDefault="009629CC" w:rsidP="00C767A1">
    <w:pPr>
      <w:pStyle w:val="Header"/>
      <w:tabs>
        <w:tab w:val="left" w:pos="1560"/>
      </w:tabs>
      <w:ind w:left="-851" w:right="-283"/>
    </w:pPr>
    <w:r>
      <w:t>Moussa Sonko</w:t>
    </w:r>
    <w:r>
      <w:tab/>
    </w:r>
    <w:r>
      <w:tab/>
    </w:r>
    <w:r>
      <w:tab/>
      <w:t>14/10/11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C1242C"/>
    <w:multiLevelType w:val="hybridMultilevel"/>
    <w:tmpl w:val="3E162C56"/>
    <w:lvl w:ilvl="0" w:tplc="5DE82A0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25D6F"/>
    <w:multiLevelType w:val="hybridMultilevel"/>
    <w:tmpl w:val="E90879DA"/>
    <w:lvl w:ilvl="0" w:tplc="C4929DFC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b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1777C"/>
    <w:multiLevelType w:val="hybridMultilevel"/>
    <w:tmpl w:val="4C68AB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744C4"/>
    <w:multiLevelType w:val="hybridMultilevel"/>
    <w:tmpl w:val="1646D1B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8118D9"/>
    <w:multiLevelType w:val="hybridMultilevel"/>
    <w:tmpl w:val="4A8C480E"/>
    <w:lvl w:ilvl="0" w:tplc="C906A072">
      <w:start w:val="1"/>
      <w:numFmt w:val="bullet"/>
      <w:lvlText w:val=""/>
      <w:lvlJc w:val="left"/>
      <w:pPr>
        <w:ind w:left="1440" w:hanging="360"/>
      </w:pPr>
      <w:rPr>
        <w:rFonts w:ascii="Symbol" w:hAnsi="Symbol" w:hint="default"/>
        <w:b w:val="0"/>
        <w:color w:val="FF008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C2472B"/>
    <w:multiLevelType w:val="hybridMultilevel"/>
    <w:tmpl w:val="ADCAB252"/>
    <w:lvl w:ilvl="0" w:tplc="8006FBD2">
      <w:start w:val="1"/>
      <w:numFmt w:val="decimal"/>
      <w:lvlText w:val="%1."/>
      <w:lvlJc w:val="left"/>
      <w:pPr>
        <w:ind w:left="780" w:hanging="360"/>
      </w:pPr>
      <w:rPr>
        <w:color w:val="FF008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4F93D74"/>
    <w:multiLevelType w:val="hybridMultilevel"/>
    <w:tmpl w:val="6556185C"/>
    <w:lvl w:ilvl="0" w:tplc="E196EA6E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b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B5355"/>
    <w:multiLevelType w:val="hybridMultilevel"/>
    <w:tmpl w:val="6AD4D022"/>
    <w:lvl w:ilvl="0" w:tplc="B15ED686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3730D"/>
    <w:multiLevelType w:val="hybridMultilevel"/>
    <w:tmpl w:val="0EE0049E"/>
    <w:lvl w:ilvl="0" w:tplc="7C30A76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B6D55"/>
    <w:multiLevelType w:val="hybridMultilevel"/>
    <w:tmpl w:val="E9946686"/>
    <w:lvl w:ilvl="0" w:tplc="9BD266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FF008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F2F5D82"/>
    <w:multiLevelType w:val="hybridMultilevel"/>
    <w:tmpl w:val="B17A268A"/>
    <w:lvl w:ilvl="0" w:tplc="FAF0514A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b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643F1"/>
    <w:multiLevelType w:val="hybridMultilevel"/>
    <w:tmpl w:val="70001C6A"/>
    <w:lvl w:ilvl="0" w:tplc="B1AE00F8">
      <w:start w:val="1"/>
      <w:numFmt w:val="decimal"/>
      <w:lvlText w:val="%1."/>
      <w:lvlJc w:val="left"/>
      <w:pPr>
        <w:ind w:left="720" w:hanging="360"/>
      </w:pPr>
      <w:rPr>
        <w:color w:val="FF00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76B0B"/>
    <w:multiLevelType w:val="hybridMultilevel"/>
    <w:tmpl w:val="D1404452"/>
    <w:lvl w:ilvl="0" w:tplc="6B5E547C">
      <w:start w:val="1"/>
      <w:numFmt w:val="bullet"/>
      <w:lvlText w:val=""/>
      <w:lvlJc w:val="left"/>
      <w:pPr>
        <w:ind w:left="1440" w:hanging="360"/>
      </w:pPr>
      <w:rPr>
        <w:rFonts w:ascii="Symbol" w:hAnsi="Symbol" w:hint="default"/>
        <w:b w:val="0"/>
        <w:color w:val="FF008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CB4E79"/>
    <w:multiLevelType w:val="hybridMultilevel"/>
    <w:tmpl w:val="8BCEEE94"/>
    <w:lvl w:ilvl="0" w:tplc="30F0CF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B5FF9"/>
    <w:multiLevelType w:val="hybridMultilevel"/>
    <w:tmpl w:val="715EAA1E"/>
    <w:lvl w:ilvl="0" w:tplc="B1AE00F8">
      <w:start w:val="1"/>
      <w:numFmt w:val="decimal"/>
      <w:lvlText w:val="%1."/>
      <w:lvlJc w:val="left"/>
      <w:pPr>
        <w:ind w:left="578" w:hanging="360"/>
      </w:pPr>
      <w:rPr>
        <w:color w:val="FF0080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52E01239"/>
    <w:multiLevelType w:val="hybridMultilevel"/>
    <w:tmpl w:val="743A5524"/>
    <w:lvl w:ilvl="0" w:tplc="B15ED686">
      <w:start w:val="1"/>
      <w:numFmt w:val="bullet"/>
      <w:lvlText w:val=""/>
      <w:lvlJc w:val="left"/>
      <w:pPr>
        <w:ind w:left="1440" w:hanging="360"/>
      </w:pPr>
      <w:rPr>
        <w:rFonts w:ascii="Symbol" w:hAnsi="Symbol" w:hint="default"/>
        <w:color w:val="FF008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A85B34"/>
    <w:multiLevelType w:val="hybridMultilevel"/>
    <w:tmpl w:val="CBD4339C"/>
    <w:lvl w:ilvl="0" w:tplc="040C000F">
      <w:start w:val="1"/>
      <w:numFmt w:val="decimal"/>
      <w:lvlText w:val="%1."/>
      <w:lvlJc w:val="left"/>
      <w:pPr>
        <w:ind w:left="780" w:hanging="360"/>
      </w:pPr>
      <w:rPr>
        <w:rFonts w:hint="default"/>
        <w:color w:val="FF008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E8D1216"/>
    <w:multiLevelType w:val="hybridMultilevel"/>
    <w:tmpl w:val="8AEC08F4"/>
    <w:lvl w:ilvl="0" w:tplc="C56E854A">
      <w:start w:val="1"/>
      <w:numFmt w:val="bullet"/>
      <w:lvlText w:val=""/>
      <w:lvlJc w:val="left"/>
      <w:pPr>
        <w:ind w:left="578" w:hanging="360"/>
      </w:pPr>
      <w:rPr>
        <w:rFonts w:ascii="Symbol" w:hAnsi="Symbol" w:hint="default"/>
        <w:b/>
        <w:color w:val="FF0080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6A5D36E2"/>
    <w:multiLevelType w:val="hybridMultilevel"/>
    <w:tmpl w:val="6C22D5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21409"/>
    <w:multiLevelType w:val="hybridMultilevel"/>
    <w:tmpl w:val="7F7E75E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931C6D"/>
    <w:multiLevelType w:val="hybridMultilevel"/>
    <w:tmpl w:val="709C80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05BF7"/>
    <w:multiLevelType w:val="hybridMultilevel"/>
    <w:tmpl w:val="D222F7F4"/>
    <w:lvl w:ilvl="0" w:tplc="B1AE00F8">
      <w:start w:val="1"/>
      <w:numFmt w:val="decimal"/>
      <w:lvlText w:val="%1."/>
      <w:lvlJc w:val="left"/>
      <w:pPr>
        <w:ind w:left="294" w:hanging="360"/>
      </w:pPr>
      <w:rPr>
        <w:color w:val="FF0080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7"/>
  </w:num>
  <w:num w:numId="5">
    <w:abstractNumId w:val="14"/>
  </w:num>
  <w:num w:numId="6">
    <w:abstractNumId w:val="9"/>
  </w:num>
  <w:num w:numId="7">
    <w:abstractNumId w:val="13"/>
  </w:num>
  <w:num w:numId="8">
    <w:abstractNumId w:val="7"/>
  </w:num>
  <w:num w:numId="9">
    <w:abstractNumId w:val="10"/>
  </w:num>
  <w:num w:numId="10">
    <w:abstractNumId w:val="18"/>
  </w:num>
  <w:num w:numId="11">
    <w:abstractNumId w:val="16"/>
  </w:num>
  <w:num w:numId="12">
    <w:abstractNumId w:val="5"/>
  </w:num>
  <w:num w:numId="13">
    <w:abstractNumId w:val="20"/>
  </w:num>
  <w:num w:numId="14">
    <w:abstractNumId w:val="2"/>
  </w:num>
  <w:num w:numId="15">
    <w:abstractNumId w:val="21"/>
  </w:num>
  <w:num w:numId="16">
    <w:abstractNumId w:val="11"/>
  </w:num>
  <w:num w:numId="17">
    <w:abstractNumId w:val="19"/>
  </w:num>
  <w:num w:numId="18">
    <w:abstractNumId w:val="3"/>
  </w:num>
  <w:num w:numId="19">
    <w:abstractNumId w:val="12"/>
  </w:num>
  <w:num w:numId="20">
    <w:abstractNumId w:val="4"/>
  </w:num>
  <w:num w:numId="21">
    <w:abstractNumId w:val="15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71957"/>
    <w:rsid w:val="00001080"/>
    <w:rsid w:val="000177BA"/>
    <w:rsid w:val="00061CE7"/>
    <w:rsid w:val="000A3675"/>
    <w:rsid w:val="00107D56"/>
    <w:rsid w:val="001406DF"/>
    <w:rsid w:val="0015060F"/>
    <w:rsid w:val="0016108E"/>
    <w:rsid w:val="001A2F28"/>
    <w:rsid w:val="001E4ECD"/>
    <w:rsid w:val="001F33C1"/>
    <w:rsid w:val="00252C54"/>
    <w:rsid w:val="00271E76"/>
    <w:rsid w:val="003002B8"/>
    <w:rsid w:val="00363B0B"/>
    <w:rsid w:val="003D6793"/>
    <w:rsid w:val="00506743"/>
    <w:rsid w:val="0051148E"/>
    <w:rsid w:val="005A1A63"/>
    <w:rsid w:val="005F625A"/>
    <w:rsid w:val="00653ACE"/>
    <w:rsid w:val="00666B5D"/>
    <w:rsid w:val="006C391B"/>
    <w:rsid w:val="007849EE"/>
    <w:rsid w:val="007D565E"/>
    <w:rsid w:val="007E6C0E"/>
    <w:rsid w:val="00822863"/>
    <w:rsid w:val="00931BCF"/>
    <w:rsid w:val="009629CC"/>
    <w:rsid w:val="00971957"/>
    <w:rsid w:val="00BF28AA"/>
    <w:rsid w:val="00C149B5"/>
    <w:rsid w:val="00C767A1"/>
    <w:rsid w:val="00CA25D9"/>
    <w:rsid w:val="00DB4659"/>
    <w:rsid w:val="00DE7FDC"/>
    <w:rsid w:val="00E254BE"/>
    <w:rsid w:val="00E95B0F"/>
    <w:rsid w:val="00EF530F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5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9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957"/>
  </w:style>
  <w:style w:type="paragraph" w:styleId="Footer">
    <w:name w:val="footer"/>
    <w:basedOn w:val="Normal"/>
    <w:link w:val="FooterChar"/>
    <w:uiPriority w:val="99"/>
    <w:unhideWhenUsed/>
    <w:rsid w:val="009719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957"/>
  </w:style>
  <w:style w:type="paragraph" w:styleId="ListParagraph">
    <w:name w:val="List Paragraph"/>
    <w:basedOn w:val="Normal"/>
    <w:uiPriority w:val="34"/>
    <w:qFormat/>
    <w:rsid w:val="00653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19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1957"/>
  </w:style>
  <w:style w:type="paragraph" w:styleId="Pieddepage">
    <w:name w:val="footer"/>
    <w:basedOn w:val="Normal"/>
    <w:link w:val="PieddepageCar"/>
    <w:uiPriority w:val="99"/>
    <w:unhideWhenUsed/>
    <w:rsid w:val="009719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1957"/>
  </w:style>
  <w:style w:type="paragraph" w:styleId="Paragraphedeliste">
    <w:name w:val="List Paragraph"/>
    <w:basedOn w:val="Normal"/>
    <w:uiPriority w:val="34"/>
    <w:qFormat/>
    <w:rsid w:val="00653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478</Words>
  <Characters>2214</Characters>
  <Application>Microsoft Word 12.0.0</Application>
  <DocSecurity>0</DocSecurity>
  <Lines>102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Droit de la concurrence </vt:lpstr>
      <vt:lpstr>TRAVAIL DIRIGE N°2</vt:lpstr>
      <vt:lpstr>Questions à développer</vt:lpstr>
      <vt:lpstr>Dualité de sanction :</vt:lpstr>
      <vt:lpstr>Cas n°1</vt:lpstr>
      <vt:lpstr>Limite dans le temps : Deux ans</vt:lpstr>
      <vt:lpstr>Le savoir-faire d’une entreprise est protégé même s’il n’y a pas de CNC.</vt:lpstr>
      <vt:lpstr>Cas n°2</vt:lpstr>
      <vt:lpstr>Limite dans le temps : 5 ans</vt:lpstr>
      <vt:lpstr>L’action judiciaire de Mr Propre ne peut aboutir car il n’a aucun intérêt légiti</vt:lpstr>
      <vt:lpstr>Cas n°3</vt:lpstr>
      <vt:lpstr>Limite dans le temps : 3 ans</vt:lpstr>
      <vt:lpstr>Sanctions : </vt:lpstr>
      <vt:lpstr>Fermeture de l’établissement</vt:lpstr>
    </vt:vector>
  </TitlesOfParts>
  <Manager/>
  <Company>GEA Nantes</Company>
  <LinksUpToDate>false</LinksUpToDate>
  <CharactersWithSpaces>2665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</dc:creator>
  <cp:keywords/>
  <dc:description/>
  <cp:lastModifiedBy>GEA Nantes</cp:lastModifiedBy>
  <cp:revision>14</cp:revision>
  <dcterms:created xsi:type="dcterms:W3CDTF">2011-10-14T08:41:00Z</dcterms:created>
  <dcterms:modified xsi:type="dcterms:W3CDTF">2012-05-11T23:36:00Z</dcterms:modified>
  <cp:category/>
</cp:coreProperties>
</file>