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glossary/styles.xml" ContentType="application/vnd.openxmlformats-officedocument.wordprocessingml.styles+xml"/>
  <Override PartName="/word/footnotes.xml" ContentType="application/vnd.openxmlformats-officedocument.wordprocessingml.footnotes+xml"/>
  <Override PartName="/word/glossary/settings.xml" ContentType="application/vnd.openxmlformats-officedocument.wordprocessingml.settings+xml"/>
  <Override PartName="/word/header1.xml" ContentType="application/vnd.openxmlformats-officedocument.wordprocessingml.header+xml"/>
  <Override PartName="/word/endnotes.xml" ContentType="application/vnd.openxmlformats-officedocument.wordprocessingml.endnotes+xml"/>
  <Override PartName="/word/charts/chart1.xml" ContentType="application/vnd.openxmlformats-officedocument.drawingml.chart+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Default Extension="wmf" ContentType="image/x-wmf"/>
  <Override PartName="/customXml/itemProps1.xml" ContentType="application/vnd.openxmlformats-officedocument.customXmlProperties+xml"/>
  <Override PartName="/word/glossary/webSettings.xml" ContentType="application/vnd.openxmlformats-officedocument.wordprocessingml.webSettings+xml"/>
  <Override PartName="/word/theme/theme1.xml" ContentType="application/vnd.openxmlformats-officedocument.theme+xml"/>
  <Override PartName="/docProps/app.xml" ContentType="application/vnd.openxmlformats-officedocument.extended-properties+xml"/>
  <Override PartName="/word/glossary/document.xml" ContentType="application/vnd.openxmlformats-officedocument.wordprocessingml.document.glossary+xml"/>
  <Override PartName="/word/settings.xml" ContentType="application/vnd.openxmlformats-officedocument.wordprocessingml.settings+xml"/>
  <Override PartName="/word/charts/chart2.xml" ContentType="application/vnd.openxmlformats-officedocument.drawingml.chart+xml"/>
  <Override PartName="/word/glossary/fontTable.xml" ContentType="application/vnd.openxmlformats-officedocument.wordprocessingml.fontTable+xml"/>
  <Default Extension="jpeg" ContentType="image/jpeg"/>
  <Default Extension="bin" ContentType="application/vnd.openxmlformats-officedocument.oleObject"/>
  <Override PartName="/word/styles.xml" ContentType="application/vnd.openxmlformats-officedocument.wordprocessingml.styles+xml"/>
  <Default Extension="rels" ContentType="application/vnd.openxmlformats-package.relationship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A7130" w:rsidRPr="002A7130" w:rsidRDefault="00E22497" w:rsidP="002A7130">
      <w:pPr>
        <w:pStyle w:val="Heading1"/>
        <w:jc w:val="right"/>
        <w:rPr>
          <w:rFonts w:asciiTheme="majorHAnsi" w:hAnsiTheme="majorHAnsi"/>
          <w:b w:val="0"/>
          <w:sz w:val="32"/>
          <w:szCs w:val="32"/>
        </w:rPr>
      </w:pPr>
      <w:r w:rsidRPr="00E22497">
        <w:rPr>
          <w:rFonts w:asciiTheme="majorHAnsi" w:hAnsiTheme="majorHAns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8.9pt;margin-top:16.65pt;width:110.4pt;height:80.7pt;z-index:251670528" o:allowincell="f">
            <v:imagedata r:id="rId9" o:title=""/>
            <w10:wrap type="topAndBottom"/>
          </v:shape>
          <o:OLEObject Type="Embed" ProgID="MS_ClipArt_Gallery.2" ShapeID="_x0000_s1036" DrawAspect="Content" ObjectID="_1268729259" r:id="rId10"/>
        </w:pict>
      </w:r>
      <w:r w:rsidR="002A7130" w:rsidRPr="002A7130">
        <w:rPr>
          <w:rFonts w:asciiTheme="majorHAnsi" w:hAnsiTheme="majorHAnsi"/>
          <w:sz w:val="32"/>
          <w:szCs w:val="32"/>
        </w:rPr>
        <w:t>T.D.</w:t>
      </w:r>
      <w:r w:rsidR="002A7130">
        <w:rPr>
          <w:rFonts w:asciiTheme="majorHAnsi" w:hAnsiTheme="majorHAnsi"/>
          <w:sz w:val="32"/>
          <w:szCs w:val="32"/>
        </w:rPr>
        <w:t>8</w:t>
      </w:r>
      <w:r w:rsidR="008002B7">
        <w:rPr>
          <w:rFonts w:asciiTheme="majorHAnsi" w:hAnsiTheme="majorHAnsi"/>
          <w:sz w:val="32"/>
          <w:szCs w:val="32"/>
        </w:rPr>
        <w:t xml:space="preserve">  CORRECTION</w:t>
      </w:r>
    </w:p>
    <w:p w:rsidR="002A7130" w:rsidRPr="002A7130" w:rsidRDefault="002A7130" w:rsidP="002A7130">
      <w:pPr>
        <w:pBdr>
          <w:bottom w:val="single" w:sz="12" w:space="1" w:color="auto"/>
        </w:pBdr>
        <w:jc w:val="right"/>
        <w:rPr>
          <w:rFonts w:asciiTheme="majorHAnsi" w:hAnsiTheme="majorHAnsi"/>
          <w:b/>
          <w:sz w:val="32"/>
        </w:rPr>
      </w:pPr>
      <w:r w:rsidRPr="002A7130">
        <w:rPr>
          <w:rFonts w:asciiTheme="majorHAnsi" w:hAnsiTheme="majorHAnsi"/>
          <w:b/>
          <w:sz w:val="32"/>
          <w:szCs w:val="32"/>
        </w:rPr>
        <w:t>La théorie keynésienne.</w:t>
      </w:r>
    </w:p>
    <w:p w:rsidR="002A7130" w:rsidRPr="002A7130" w:rsidRDefault="002A7130" w:rsidP="002A7130">
      <w:pPr>
        <w:pStyle w:val="BodyTextIndent"/>
        <w:ind w:right="1"/>
        <w:rPr>
          <w:rFonts w:asciiTheme="majorHAnsi" w:hAnsiTheme="majorHAnsi"/>
        </w:rPr>
      </w:pPr>
    </w:p>
    <w:p w:rsidR="002A7130" w:rsidRPr="0076782A" w:rsidRDefault="0076782A" w:rsidP="002A7130">
      <w:pPr>
        <w:pStyle w:val="BodyTextIndent"/>
        <w:ind w:right="1"/>
        <w:rPr>
          <w:rFonts w:asciiTheme="majorHAnsi" w:hAnsiTheme="majorHAnsi"/>
          <w:b/>
          <w:sz w:val="28"/>
          <w:szCs w:val="28"/>
        </w:rPr>
      </w:pPr>
      <w:r w:rsidRPr="0076782A">
        <w:rPr>
          <w:rFonts w:asciiTheme="majorHAnsi" w:hAnsiTheme="majorHAnsi"/>
          <w:b/>
          <w:sz w:val="28"/>
          <w:szCs w:val="28"/>
        </w:rPr>
        <w:t>Travail N°1 :</w:t>
      </w:r>
    </w:p>
    <w:p w:rsidR="00EB6A96" w:rsidRPr="002A7130" w:rsidRDefault="00EB6A96" w:rsidP="00EB6A96">
      <w:pPr>
        <w:pStyle w:val="BodyTextIndent"/>
        <w:ind w:left="360" w:right="-567" w:firstLine="0"/>
        <w:jc w:val="center"/>
        <w:rPr>
          <w:rFonts w:asciiTheme="majorHAnsi" w:hAnsiTheme="majorHAnsi"/>
          <w:b/>
          <w:sz w:val="28"/>
          <w:szCs w:val="28"/>
        </w:rPr>
      </w:pPr>
      <w:r w:rsidRPr="002A7130">
        <w:rPr>
          <w:rFonts w:asciiTheme="majorHAnsi" w:hAnsiTheme="majorHAnsi"/>
          <w:b/>
          <w:sz w:val="28"/>
          <w:szCs w:val="28"/>
        </w:rPr>
        <w:t>La logique keynésienne.</w:t>
      </w:r>
    </w:p>
    <w:p w:rsidR="00EB6A96" w:rsidRPr="002A7130" w:rsidRDefault="00EB6A96" w:rsidP="00EB6A96">
      <w:pPr>
        <w:pStyle w:val="BodyTextIndent"/>
        <w:ind w:left="360" w:right="-567" w:firstLine="0"/>
        <w:jc w:val="center"/>
        <w:rPr>
          <w:rFonts w:asciiTheme="majorHAnsi" w:hAnsiTheme="majorHAnsi"/>
          <w:b/>
          <w:sz w:val="28"/>
          <w:szCs w:val="28"/>
        </w:rPr>
      </w:pPr>
    </w:p>
    <w:p w:rsidR="00EB6A96" w:rsidRDefault="00EB6A96" w:rsidP="003D1F98">
      <w:pPr>
        <w:pStyle w:val="ListParagraph"/>
        <w:numPr>
          <w:ilvl w:val="0"/>
          <w:numId w:val="40"/>
        </w:numPr>
        <w:spacing w:line="276" w:lineRule="auto"/>
        <w:jc w:val="both"/>
        <w:rPr>
          <w:rFonts w:asciiTheme="majorHAnsi" w:hAnsiTheme="majorHAnsi"/>
          <w:b/>
          <w:i/>
          <w:sz w:val="22"/>
          <w:szCs w:val="22"/>
        </w:rPr>
      </w:pPr>
      <w:r w:rsidRPr="0076782A">
        <w:rPr>
          <w:rFonts w:asciiTheme="majorHAnsi" w:hAnsiTheme="majorHAnsi"/>
          <w:b/>
          <w:i/>
          <w:sz w:val="22"/>
          <w:szCs w:val="22"/>
        </w:rPr>
        <w:t>Interprétez le schéma suivant : quelle différence essentielle présente-t-il avec la logique néo-classique ?</w:t>
      </w:r>
    </w:p>
    <w:p w:rsidR="00B14601" w:rsidRDefault="00E22497" w:rsidP="006111B6">
      <w:pPr>
        <w:spacing w:line="276" w:lineRule="auto"/>
        <w:jc w:val="both"/>
        <w:rPr>
          <w:rFonts w:asciiTheme="majorHAnsi" w:hAnsiTheme="majorHAnsi"/>
          <w:b/>
          <w:i/>
          <w:sz w:val="22"/>
          <w:szCs w:val="22"/>
        </w:rPr>
      </w:pPr>
      <w:r w:rsidRPr="00E22497">
        <w:rPr>
          <w:rFonts w:asciiTheme="majorHAnsi" w:hAnsiTheme="majorHAnsi"/>
          <w:b/>
          <w:i/>
          <w:noProof/>
          <w:sz w:val="22"/>
          <w:szCs w:val="22"/>
        </w:rPr>
        <w:pict>
          <v:shapetype id="_x0000_t202" coordsize="21600,21600" o:spt="202" path="m0,0l0,21600,21600,21600,21600,0xe">
            <v:stroke joinstyle="miter"/>
            <v:path gradientshapeok="t" o:connecttype="rect"/>
          </v:shapetype>
          <v:shape id="_x0000_s1153" type="#_x0000_t202" style="position:absolute;left:0;text-align:left;margin-left:1.25pt;margin-top:10.05pt;width:157.55pt;height:47.05pt;z-index:251763712;mso-height-percent:200;mso-height-percent:200;mso-width-relative:margin;mso-height-relative:margin">
            <v:textbox style="mso-fit-shape-to-text:t">
              <w:txbxContent>
                <w:p w:rsidR="003E53CA" w:rsidRPr="00B30D52" w:rsidRDefault="003E53CA" w:rsidP="00B14601">
                  <w:pPr>
                    <w:rPr>
                      <w:b/>
                    </w:rPr>
                  </w:pPr>
                  <w:r w:rsidRPr="00B30D52">
                    <w:rPr>
                      <w:b/>
                      <w:color w:val="FF0000"/>
                      <w:sz w:val="24"/>
                      <w:szCs w:val="24"/>
                    </w:rPr>
                    <w:t>Consommation</w:t>
                  </w:r>
                  <w:r w:rsidRPr="00B30D52">
                    <w:rPr>
                      <w:b/>
                    </w:rPr>
                    <w:t xml:space="preserve"> (C)</w:t>
                  </w:r>
                </w:p>
                <w:p w:rsidR="003E53CA" w:rsidRPr="00B30D52" w:rsidRDefault="003E53CA" w:rsidP="00B14601">
                  <w:pPr>
                    <w:rPr>
                      <w:b/>
                    </w:rPr>
                  </w:pPr>
                  <w:r>
                    <w:rPr>
                      <w:b/>
                    </w:rPr>
                    <w:t xml:space="preserve">               </w:t>
                  </w:r>
                  <w:r w:rsidRPr="00B30D52">
                    <w:rPr>
                      <w:b/>
                    </w:rPr>
                    <w:t>+</w:t>
                  </w:r>
                  <w:r>
                    <w:rPr>
                      <w:b/>
                    </w:rPr>
                    <w:t xml:space="preserve">                             </w:t>
                  </w:r>
                  <w:r w:rsidRPr="00B30D52">
                    <w:rPr>
                      <w:b/>
                    </w:rPr>
                    <w:t>privés</w:t>
                  </w:r>
                </w:p>
                <w:p w:rsidR="003E53CA" w:rsidRPr="00B30D52" w:rsidRDefault="003E53CA" w:rsidP="00B14601">
                  <w:pPr>
                    <w:rPr>
                      <w:b/>
                    </w:rPr>
                  </w:pPr>
                  <w:r w:rsidRPr="00B30D52">
                    <w:rPr>
                      <w:b/>
                      <w:color w:val="FF0000"/>
                      <w:sz w:val="24"/>
                      <w:szCs w:val="24"/>
                    </w:rPr>
                    <w:t>Investissement</w:t>
                  </w:r>
                  <w:r>
                    <w:rPr>
                      <w:b/>
                    </w:rPr>
                    <w:t xml:space="preserve"> (I)</w:t>
                  </w:r>
                </w:p>
              </w:txbxContent>
            </v:textbox>
          </v:shape>
        </w:pict>
      </w:r>
    </w:p>
    <w:p w:rsidR="00B14601" w:rsidRDefault="00E22497" w:rsidP="006111B6">
      <w:pPr>
        <w:spacing w:line="276" w:lineRule="auto"/>
        <w:jc w:val="both"/>
        <w:rPr>
          <w:rFonts w:asciiTheme="majorHAnsi" w:hAnsiTheme="majorHAnsi"/>
          <w:b/>
          <w:i/>
          <w:sz w:val="22"/>
          <w:szCs w:val="22"/>
        </w:rPr>
      </w:pPr>
      <w:r w:rsidRPr="00E22497">
        <w:rPr>
          <w:rFonts w:asciiTheme="majorHAnsi" w:hAnsiTheme="majorHAnsi"/>
          <w:b/>
          <w:i/>
          <w:noProof/>
          <w:sz w:val="22"/>
          <w:szCs w:val="22"/>
        </w:rPr>
        <w:pict>
          <v:shapetype id="_x0000_t105" coordsize="21600,21600" o:spt="105" adj="12960,19440,14400" path="wr0,0@3@23,0@22@4,0@15,0@1@23@7,0@13@2l@14@2@8@22@12@2at0,0@3@23@11@2@17@26@15,0@1@23@17@26@15@22xewr0,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156" type="#_x0000_t105" style="position:absolute;left:0;text-align:left;margin-left:159.2pt;margin-top:5.25pt;width:93.6pt;height:23.45pt;z-index:251766784" fillcolor="red"/>
        </w:pict>
      </w:r>
    </w:p>
    <w:p w:rsidR="00B14601" w:rsidRDefault="00E22497" w:rsidP="006111B6">
      <w:pPr>
        <w:spacing w:line="276" w:lineRule="auto"/>
        <w:jc w:val="both"/>
        <w:rPr>
          <w:rFonts w:asciiTheme="majorHAnsi" w:hAnsiTheme="majorHAnsi"/>
          <w:b/>
          <w:i/>
          <w:sz w:val="22"/>
          <w:szCs w:val="22"/>
        </w:rPr>
      </w:pPr>
      <w:r w:rsidRPr="00E22497">
        <w:rPr>
          <w:rFonts w:asciiTheme="majorHAnsi" w:hAnsiTheme="majorHAnsi"/>
          <w:b/>
          <w:i/>
          <w:noProof/>
          <w:sz w:val="22"/>
          <w:szCs w:val="22"/>
        </w:rPr>
        <w:pict>
          <v:shape id="_x0000_s1155" type="#_x0000_t202" style="position:absolute;left:0;text-align:left;margin-left:182.75pt;margin-top:13.85pt;width:98.8pt;height:79.05pt;z-index:251765760;mso-width-relative:margin;mso-height-relative:margin">
            <v:textbox>
              <w:txbxContent>
                <w:p w:rsidR="003E53CA" w:rsidRDefault="003E53CA" w:rsidP="00B14601">
                  <w:pPr>
                    <w:jc w:val="center"/>
                    <w:rPr>
                      <w:b/>
                      <w:color w:val="FF0000"/>
                      <w:sz w:val="24"/>
                      <w:szCs w:val="24"/>
                    </w:rPr>
                  </w:pPr>
                  <w:r>
                    <w:rPr>
                      <w:b/>
                      <w:color w:val="FF0000"/>
                      <w:sz w:val="24"/>
                      <w:szCs w:val="24"/>
                    </w:rPr>
                    <w:t>Demande globale effective (DG)</w:t>
                  </w:r>
                </w:p>
                <w:p w:rsidR="003E53CA" w:rsidRPr="009F08DF" w:rsidRDefault="003E53CA" w:rsidP="00B14601">
                  <w:pPr>
                    <w:jc w:val="center"/>
                    <w:rPr>
                      <w:b/>
                    </w:rPr>
                  </w:pPr>
                  <w:r w:rsidRPr="009F08DF">
                    <w:rPr>
                      <w:b/>
                      <w:sz w:val="24"/>
                      <w:szCs w:val="24"/>
                    </w:rPr>
                    <w:t>(Solvable et anticipée)</w:t>
                  </w:r>
                </w:p>
              </w:txbxContent>
            </v:textbox>
          </v:shape>
        </w:pict>
      </w:r>
    </w:p>
    <w:p w:rsidR="00B14601" w:rsidRDefault="00E22497" w:rsidP="006111B6">
      <w:pPr>
        <w:spacing w:line="276" w:lineRule="auto"/>
        <w:jc w:val="both"/>
        <w:rPr>
          <w:rFonts w:asciiTheme="majorHAnsi" w:hAnsiTheme="majorHAnsi"/>
          <w:b/>
          <w:i/>
          <w:sz w:val="22"/>
          <w:szCs w:val="22"/>
        </w:rPr>
      </w:pPr>
      <w:r w:rsidRPr="00E22497">
        <w:rPr>
          <w:rFonts w:asciiTheme="majorHAnsi" w:hAnsiTheme="majorHAnsi"/>
          <w:b/>
          <w:i/>
          <w:noProof/>
          <w:sz w:val="22"/>
          <w:szCs w:val="22"/>
        </w:rPr>
        <w:pict>
          <v:shape id="_x0000_s1159" type="#_x0000_t202" style="position:absolute;left:0;text-align:left;margin-left:299.95pt;margin-top:8.25pt;width:1in;height:57.75pt;z-index:251769856;mso-width-relative:margin;mso-height-relative:margin">
            <v:textbox>
              <w:txbxContent>
                <w:p w:rsidR="003E53CA" w:rsidRPr="009F08DF" w:rsidRDefault="003E53CA" w:rsidP="00B14601">
                  <w:pPr>
                    <w:jc w:val="center"/>
                    <w:rPr>
                      <w:b/>
                      <w:color w:val="FF0000"/>
                      <w:sz w:val="28"/>
                      <w:szCs w:val="28"/>
                    </w:rPr>
                  </w:pPr>
                  <w:r w:rsidRPr="009F08DF">
                    <w:rPr>
                      <w:b/>
                      <w:color w:val="FF0000"/>
                      <w:sz w:val="28"/>
                      <w:szCs w:val="28"/>
                    </w:rPr>
                    <w:t>Offre globale (OG)</w:t>
                  </w:r>
                </w:p>
                <w:p w:rsidR="003E53CA" w:rsidRPr="009F08DF" w:rsidRDefault="003E53CA" w:rsidP="00B14601">
                  <w:pPr>
                    <w:jc w:val="center"/>
                    <w:rPr>
                      <w:b/>
                    </w:rPr>
                  </w:pPr>
                </w:p>
              </w:txbxContent>
            </v:textbox>
          </v:shape>
        </w:pict>
      </w:r>
    </w:p>
    <w:p w:rsidR="00B14601" w:rsidRDefault="00E22497" w:rsidP="006111B6">
      <w:pPr>
        <w:spacing w:line="276" w:lineRule="auto"/>
        <w:jc w:val="both"/>
        <w:rPr>
          <w:rFonts w:asciiTheme="majorHAnsi" w:hAnsiTheme="majorHAnsi"/>
          <w:b/>
          <w:i/>
          <w:sz w:val="22"/>
          <w:szCs w:val="22"/>
        </w:rPr>
      </w:pPr>
      <w:r w:rsidRPr="00E22497">
        <w:rPr>
          <w:rFonts w:asciiTheme="majorHAnsi" w:hAnsiTheme="majorHAnsi"/>
          <w:b/>
          <w:i/>
          <w:noProof/>
          <w:sz w:val="22"/>
          <w:szCs w:val="22"/>
        </w:rPr>
        <w:pict>
          <v:shape id="_x0000_s1161" type="#_x0000_t202" style="position:absolute;left:0;text-align:left;margin-left:388.7pt;margin-top:8.45pt;width:63.4pt;height:26pt;z-index:251771904;mso-width-relative:margin;mso-height-relative:margin">
            <v:textbox>
              <w:txbxContent>
                <w:p w:rsidR="003E53CA" w:rsidRPr="009F08DF" w:rsidRDefault="003E53CA" w:rsidP="00B14601">
                  <w:pPr>
                    <w:jc w:val="center"/>
                    <w:rPr>
                      <w:b/>
                      <w:color w:val="FF0000"/>
                      <w:sz w:val="28"/>
                      <w:szCs w:val="28"/>
                    </w:rPr>
                  </w:pPr>
                  <w:r>
                    <w:rPr>
                      <w:b/>
                      <w:color w:val="FF0000"/>
                      <w:sz w:val="28"/>
                      <w:szCs w:val="28"/>
                    </w:rPr>
                    <w:t>Emploi</w:t>
                  </w:r>
                </w:p>
                <w:p w:rsidR="003E53CA" w:rsidRPr="009F08DF" w:rsidRDefault="003E53CA" w:rsidP="00B14601">
                  <w:pPr>
                    <w:jc w:val="center"/>
                    <w:rPr>
                      <w:b/>
                    </w:rPr>
                  </w:pPr>
                </w:p>
              </w:txbxContent>
            </v:textbox>
          </v:shape>
        </w:pict>
      </w:r>
      <w:r w:rsidRPr="00E22497">
        <w:rPr>
          <w:rFonts w:asciiTheme="majorHAnsi" w:hAnsiTheme="majorHAnsi"/>
          <w:b/>
          <w:i/>
          <w:noProof/>
          <w:sz w:val="22"/>
          <w:szCs w:val="22"/>
        </w:rPr>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0" type="#_x0000_t13" style="position:absolute;left:0;text-align:left;margin-left:371.95pt;margin-top:13.55pt;width:16.75pt;height:20.9pt;z-index:251770880" fillcolor="red"/>
        </w:pict>
      </w:r>
      <w:r w:rsidRPr="00E22497">
        <w:rPr>
          <w:rFonts w:asciiTheme="majorHAnsi" w:hAnsiTheme="majorHAnsi"/>
          <w:b/>
          <w:i/>
          <w:noProof/>
          <w:sz w:val="22"/>
          <w:szCs w:val="22"/>
        </w:rPr>
        <w:pict>
          <v:shape id="_x0000_s1158" type="#_x0000_t13" style="position:absolute;left:0;text-align:left;margin-left:281.55pt;margin-top:13.55pt;width:18.4pt;height:20.9pt;z-index:251768832" fillcolor="red"/>
        </w:pict>
      </w:r>
      <w:r w:rsidRPr="00E22497">
        <w:rPr>
          <w:rFonts w:asciiTheme="majorHAnsi" w:hAnsiTheme="majorHAnsi"/>
          <w:b/>
          <w:i/>
          <w:noProof/>
          <w:sz w:val="22"/>
          <w:szCs w:val="22"/>
        </w:rPr>
        <w:pict>
          <v:shape id="_x0000_s1154" type="#_x0000_t202" style="position:absolute;left:0;text-align:left;margin-left:1.75pt;margin-top:3.45pt;width:157.55pt;height:100.45pt;z-index:251764736;mso-width-relative:margin;mso-height-relative:margin">
            <v:textbox>
              <w:txbxContent>
                <w:p w:rsidR="003E53CA" w:rsidRPr="00B30D52" w:rsidRDefault="003E53CA" w:rsidP="00B14601">
                  <w:pPr>
                    <w:jc w:val="center"/>
                    <w:rPr>
                      <w:b/>
                      <w:color w:val="FF0000"/>
                      <w:sz w:val="24"/>
                      <w:szCs w:val="24"/>
                    </w:rPr>
                  </w:pPr>
                  <w:r w:rsidRPr="00B30D52">
                    <w:rPr>
                      <w:b/>
                      <w:color w:val="FF0000"/>
                      <w:sz w:val="24"/>
                      <w:szCs w:val="24"/>
                    </w:rPr>
                    <w:t>Dépenses publiques (G)</w:t>
                  </w:r>
                </w:p>
                <w:p w:rsidR="003E53CA" w:rsidRPr="00B30D52" w:rsidRDefault="003E53CA" w:rsidP="00B14601">
                  <w:pPr>
                    <w:jc w:val="center"/>
                    <w:rPr>
                      <w:b/>
                    </w:rPr>
                  </w:pPr>
                  <w:r>
                    <w:rPr>
                      <w:b/>
                    </w:rPr>
                    <w:t>(Moyen</w:t>
                  </w:r>
                  <w:r w:rsidRPr="00B30D52">
                    <w:rPr>
                      <w:b/>
                    </w:rPr>
                    <w:t>s d’intervention de l’Etat dans les affaires économiques)</w:t>
                  </w:r>
                </w:p>
                <w:p w:rsidR="003E53CA" w:rsidRPr="00B30D52" w:rsidRDefault="003E53CA" w:rsidP="00B14601">
                  <w:pPr>
                    <w:jc w:val="center"/>
                    <w:rPr>
                      <w:b/>
                    </w:rPr>
                  </w:pPr>
                  <w:r w:rsidRPr="00B30D52">
                    <w:rPr>
                      <w:b/>
                    </w:rPr>
                    <w:t>+</w:t>
                  </w:r>
                </w:p>
                <w:p w:rsidR="003E53CA" w:rsidRPr="00B30D52" w:rsidRDefault="003E53CA" w:rsidP="00B14601">
                  <w:pPr>
                    <w:jc w:val="center"/>
                    <w:rPr>
                      <w:b/>
                      <w:color w:val="FF0000"/>
                      <w:sz w:val="24"/>
                      <w:szCs w:val="24"/>
                    </w:rPr>
                  </w:pPr>
                  <w:r w:rsidRPr="00B30D52">
                    <w:rPr>
                      <w:b/>
                      <w:color w:val="FF0000"/>
                      <w:sz w:val="24"/>
                      <w:szCs w:val="24"/>
                    </w:rPr>
                    <w:t>Demande nette du Reste du Monde</w:t>
                  </w:r>
                </w:p>
                <w:p w:rsidR="003E53CA" w:rsidRPr="00B30D52" w:rsidRDefault="003E53CA" w:rsidP="00B14601">
                  <w:pPr>
                    <w:jc w:val="center"/>
                    <w:rPr>
                      <w:b/>
                    </w:rPr>
                  </w:pPr>
                  <w:r w:rsidRPr="00B30D52">
                    <w:rPr>
                      <w:b/>
                    </w:rPr>
                    <w:t>(Exports – Imports : (X – M)</w:t>
                  </w:r>
                </w:p>
              </w:txbxContent>
            </v:textbox>
          </v:shape>
        </w:pict>
      </w:r>
    </w:p>
    <w:p w:rsidR="00B14601" w:rsidRDefault="00B14601" w:rsidP="006111B6">
      <w:pPr>
        <w:spacing w:line="276" w:lineRule="auto"/>
        <w:jc w:val="both"/>
        <w:rPr>
          <w:rFonts w:asciiTheme="majorHAnsi" w:hAnsiTheme="majorHAnsi"/>
          <w:b/>
          <w:i/>
          <w:sz w:val="22"/>
          <w:szCs w:val="22"/>
        </w:rPr>
      </w:pPr>
    </w:p>
    <w:p w:rsidR="00B14601" w:rsidRDefault="00B14601" w:rsidP="006111B6">
      <w:pPr>
        <w:spacing w:line="276" w:lineRule="auto"/>
        <w:jc w:val="both"/>
        <w:rPr>
          <w:rFonts w:asciiTheme="majorHAnsi" w:hAnsiTheme="majorHAnsi"/>
          <w:b/>
          <w:i/>
          <w:sz w:val="22"/>
          <w:szCs w:val="22"/>
        </w:rPr>
      </w:pPr>
    </w:p>
    <w:p w:rsidR="00B14601" w:rsidRDefault="00B14601" w:rsidP="006111B6">
      <w:pPr>
        <w:spacing w:line="276" w:lineRule="auto"/>
        <w:jc w:val="both"/>
        <w:rPr>
          <w:rFonts w:asciiTheme="majorHAnsi" w:hAnsiTheme="majorHAnsi"/>
          <w:b/>
          <w:i/>
          <w:sz w:val="22"/>
          <w:szCs w:val="22"/>
        </w:rPr>
      </w:pPr>
    </w:p>
    <w:p w:rsidR="00B14601" w:rsidRDefault="00E22497" w:rsidP="006111B6">
      <w:pPr>
        <w:spacing w:line="276" w:lineRule="auto"/>
        <w:jc w:val="both"/>
        <w:rPr>
          <w:rFonts w:asciiTheme="majorHAnsi" w:hAnsiTheme="majorHAnsi"/>
          <w:b/>
          <w:i/>
          <w:sz w:val="22"/>
          <w:szCs w:val="22"/>
        </w:rPr>
      </w:pPr>
      <w:r w:rsidRPr="00E22497">
        <w:rPr>
          <w:rFonts w:asciiTheme="majorHAnsi" w:hAnsiTheme="majorHAnsi"/>
          <w:b/>
          <w:i/>
          <w:noProof/>
          <w:sz w:val="22"/>
          <w:szCs w:val="22"/>
        </w:rPr>
        <w:pict>
          <v:shapetype id="_x0000_t104" coordsize="21600,21600" o:spt="104" adj="12960,19440,7200" path="ar0@22@3@21,,0@4@21@14@22@1@21@7@21@12@2l@13@2@8,0@11@2wa0@22@3@21@10@2@16@24@14@22@1@21@16@24@14,0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157" type="#_x0000_t104" style="position:absolute;left:0;text-align:left;margin-left:159.3pt;margin-top:3.9pt;width:93.6pt;height:22.65pt;z-index:251767808" adj=",19748" fillcolor="red"/>
        </w:pict>
      </w:r>
    </w:p>
    <w:p w:rsidR="00B14601" w:rsidRDefault="00B14601" w:rsidP="006111B6">
      <w:pPr>
        <w:spacing w:line="276" w:lineRule="auto"/>
        <w:jc w:val="both"/>
        <w:rPr>
          <w:rFonts w:asciiTheme="majorHAnsi" w:hAnsiTheme="majorHAnsi"/>
          <w:b/>
          <w:i/>
          <w:sz w:val="22"/>
          <w:szCs w:val="22"/>
        </w:rPr>
      </w:pPr>
    </w:p>
    <w:p w:rsidR="00B14601" w:rsidRDefault="00B14601" w:rsidP="006111B6">
      <w:pPr>
        <w:spacing w:line="276" w:lineRule="auto"/>
        <w:jc w:val="both"/>
        <w:rPr>
          <w:rFonts w:asciiTheme="majorHAnsi" w:hAnsiTheme="majorHAnsi"/>
          <w:b/>
          <w:i/>
          <w:sz w:val="22"/>
          <w:szCs w:val="22"/>
        </w:rPr>
      </w:pPr>
    </w:p>
    <w:p w:rsidR="00B14601" w:rsidRDefault="00B14601" w:rsidP="006111B6">
      <w:pPr>
        <w:pStyle w:val="BodyTextIndent"/>
        <w:ind w:right="1" w:firstLine="0"/>
        <w:rPr>
          <w:rFonts w:asciiTheme="majorHAnsi" w:hAnsiTheme="majorHAnsi"/>
        </w:rPr>
      </w:pPr>
    </w:p>
    <w:p w:rsidR="002A7130" w:rsidRDefault="002A7130" w:rsidP="002A7130">
      <w:pPr>
        <w:pStyle w:val="BodyTextIndent"/>
        <w:ind w:right="1"/>
        <w:rPr>
          <w:rFonts w:asciiTheme="majorHAnsi" w:hAnsiTheme="majorHAnsi"/>
        </w:rPr>
      </w:pPr>
      <w:r w:rsidRPr="002A7130">
        <w:rPr>
          <w:rFonts w:asciiTheme="majorHAnsi" w:hAnsiTheme="majorHAnsi"/>
        </w:rPr>
        <w:t>La logique keynésienne</w:t>
      </w:r>
      <w:r w:rsidR="0076782A">
        <w:rPr>
          <w:rFonts w:asciiTheme="majorHAnsi" w:hAnsiTheme="majorHAnsi"/>
        </w:rPr>
        <w:t>, que décrit d’abord c</w:t>
      </w:r>
      <w:r w:rsidR="00EB6A96">
        <w:rPr>
          <w:rFonts w:asciiTheme="majorHAnsi" w:hAnsiTheme="majorHAnsi"/>
        </w:rPr>
        <w:t>e schéma,</w:t>
      </w:r>
      <w:r w:rsidRPr="002A7130">
        <w:rPr>
          <w:rFonts w:asciiTheme="majorHAnsi" w:hAnsiTheme="majorHAnsi"/>
        </w:rPr>
        <w:t xml:space="preserve"> est la suivante : </w:t>
      </w:r>
    </w:p>
    <w:p w:rsidR="00264BA7" w:rsidRPr="002A7130" w:rsidRDefault="00264BA7" w:rsidP="002A7130">
      <w:pPr>
        <w:pStyle w:val="BodyTextIndent"/>
        <w:ind w:right="1"/>
        <w:rPr>
          <w:rFonts w:asciiTheme="majorHAnsi" w:hAnsiTheme="majorHAnsi"/>
        </w:rPr>
      </w:pPr>
    </w:p>
    <w:p w:rsidR="002A7130" w:rsidRPr="002A7130" w:rsidRDefault="002A7130" w:rsidP="003D1F98">
      <w:pPr>
        <w:pStyle w:val="BodyTextIndent"/>
        <w:numPr>
          <w:ilvl w:val="0"/>
          <w:numId w:val="26"/>
        </w:numPr>
        <w:spacing w:after="120"/>
        <w:ind w:right="1"/>
        <w:rPr>
          <w:rFonts w:asciiTheme="majorHAnsi" w:hAnsiTheme="majorHAnsi"/>
        </w:rPr>
      </w:pPr>
      <w:r w:rsidRPr="002A7130">
        <w:rPr>
          <w:rFonts w:asciiTheme="majorHAnsi" w:hAnsiTheme="majorHAnsi"/>
          <w:i/>
        </w:rPr>
        <w:t xml:space="preserve">A court terme, le niveau de l’emploi est déterminé par </w:t>
      </w:r>
      <w:r w:rsidR="0076782A">
        <w:rPr>
          <w:rFonts w:asciiTheme="majorHAnsi" w:hAnsiTheme="majorHAnsi"/>
          <w:i/>
        </w:rPr>
        <w:t xml:space="preserve">celui de </w:t>
      </w:r>
      <w:r w:rsidRPr="002A7130">
        <w:rPr>
          <w:rFonts w:asciiTheme="majorHAnsi" w:hAnsiTheme="majorHAnsi"/>
          <w:i/>
        </w:rPr>
        <w:t>la production</w:t>
      </w:r>
      <w:r w:rsidRPr="002A7130">
        <w:rPr>
          <w:rFonts w:asciiTheme="majorHAnsi" w:hAnsiTheme="majorHAnsi"/>
        </w:rPr>
        <w:t>. Si le niveau de celle-ci augmente, le niveau de l’emploi s’accroît et inversement.</w:t>
      </w:r>
    </w:p>
    <w:p w:rsidR="002A7130" w:rsidRPr="002A7130" w:rsidRDefault="002A7130" w:rsidP="003D1F98">
      <w:pPr>
        <w:pStyle w:val="BodyTextIndent"/>
        <w:numPr>
          <w:ilvl w:val="0"/>
          <w:numId w:val="26"/>
        </w:numPr>
        <w:spacing w:after="120"/>
        <w:ind w:right="1"/>
        <w:rPr>
          <w:rFonts w:asciiTheme="majorHAnsi" w:hAnsiTheme="majorHAnsi"/>
        </w:rPr>
      </w:pPr>
      <w:r w:rsidRPr="002A7130">
        <w:rPr>
          <w:rFonts w:asciiTheme="majorHAnsi" w:hAnsiTheme="majorHAnsi"/>
          <w:i/>
        </w:rPr>
        <w:t>La production à son tour dépend du niveau de la demande effective</w:t>
      </w:r>
      <w:r w:rsidRPr="002A7130">
        <w:rPr>
          <w:rFonts w:asciiTheme="majorHAnsi" w:hAnsiTheme="majorHAnsi"/>
        </w:rPr>
        <w:t xml:space="preserve">, c’est-à-dire de la demande </w:t>
      </w:r>
      <w:r w:rsidRPr="002A7130">
        <w:rPr>
          <w:rFonts w:asciiTheme="majorHAnsi" w:hAnsiTheme="majorHAnsi"/>
          <w:i/>
        </w:rPr>
        <w:t>solvable, anticipée</w:t>
      </w:r>
      <w:r w:rsidRPr="002A7130">
        <w:rPr>
          <w:rFonts w:asciiTheme="majorHAnsi" w:hAnsiTheme="majorHAnsi"/>
        </w:rPr>
        <w:t xml:space="preserve"> par les producteurs, égale à l’ensemble des dépenses susceptibles d’être accomplies à un moment donné. Celles-ci sont approximativement égales, en valeur, à celle du revenu national net distribué, (donc – comme nous l’avons vu en Comptabilité Nationale – de la production intérieure brute, corrigée de la consommation de capital fixe et des transferts nets de revenus primaires entre le pays et le Reste du Monde).</w:t>
      </w:r>
    </w:p>
    <w:p w:rsidR="00F9520B" w:rsidRDefault="002A7130" w:rsidP="003D1F98">
      <w:pPr>
        <w:pStyle w:val="BodyTextIndent"/>
        <w:numPr>
          <w:ilvl w:val="0"/>
          <w:numId w:val="26"/>
        </w:numPr>
        <w:spacing w:after="120"/>
        <w:ind w:right="1"/>
        <w:rPr>
          <w:rFonts w:asciiTheme="majorHAnsi" w:hAnsiTheme="majorHAnsi"/>
        </w:rPr>
      </w:pPr>
      <w:r w:rsidRPr="002A7130">
        <w:rPr>
          <w:rFonts w:asciiTheme="majorHAnsi" w:hAnsiTheme="majorHAnsi"/>
        </w:rPr>
        <w:t xml:space="preserve">La demande effective comprend deux éléments essentiels : la </w:t>
      </w:r>
      <w:r w:rsidRPr="002A7130">
        <w:rPr>
          <w:rFonts w:asciiTheme="majorHAnsi" w:hAnsiTheme="majorHAnsi"/>
          <w:i/>
        </w:rPr>
        <w:t>consommation</w:t>
      </w:r>
      <w:r w:rsidRPr="002A7130">
        <w:rPr>
          <w:rFonts w:asciiTheme="majorHAnsi" w:hAnsiTheme="majorHAnsi"/>
        </w:rPr>
        <w:t xml:space="preserve"> (des ménages essentiellement) et l’</w:t>
      </w:r>
      <w:r w:rsidRPr="002A7130">
        <w:rPr>
          <w:rFonts w:asciiTheme="majorHAnsi" w:hAnsiTheme="majorHAnsi"/>
          <w:i/>
        </w:rPr>
        <w:t>investissement</w:t>
      </w:r>
      <w:r w:rsidRPr="002A7130">
        <w:rPr>
          <w:rFonts w:asciiTheme="majorHAnsi" w:hAnsiTheme="majorHAnsi"/>
          <w:b/>
          <w:i/>
        </w:rPr>
        <w:t xml:space="preserve"> </w:t>
      </w:r>
      <w:r w:rsidRPr="002A7130">
        <w:rPr>
          <w:rFonts w:asciiTheme="majorHAnsi" w:hAnsiTheme="majorHAnsi"/>
        </w:rPr>
        <w:t xml:space="preserve">(des agents privés essentiellement).  S’y ajoutent les Dépenses – de fonctionnement et d’investissement –  des Administrations Publiques – considérées par KEYNES comme des moyens efficaces de régulation de l’activité économique, tant en période de ralentissement-récession que de surchauffe de l’économie, et la demande nette exprimée par le Reste du Monde (les exportations, déduction faite des importations, du pays). </w:t>
      </w:r>
    </w:p>
    <w:p w:rsidR="00264BA7" w:rsidRPr="00F9520B" w:rsidRDefault="00264BA7" w:rsidP="00264BA7">
      <w:pPr>
        <w:pStyle w:val="BodyTextIndent"/>
        <w:spacing w:after="120"/>
        <w:ind w:left="360" w:right="1" w:firstLine="0"/>
        <w:rPr>
          <w:rFonts w:asciiTheme="majorHAnsi" w:hAnsiTheme="majorHAnsi"/>
        </w:rPr>
      </w:pPr>
    </w:p>
    <w:p w:rsidR="002A7130" w:rsidRPr="00EB6A96" w:rsidRDefault="002A7130" w:rsidP="00AB74EF">
      <w:pPr>
        <w:pStyle w:val="BodyTextIndent"/>
        <w:pBdr>
          <w:top w:val="single" w:sz="4" w:space="1" w:color="auto"/>
          <w:left w:val="single" w:sz="4" w:space="4" w:color="auto"/>
          <w:bottom w:val="single" w:sz="4" w:space="1" w:color="auto"/>
          <w:right w:val="single" w:sz="4" w:space="4" w:color="auto"/>
        </w:pBdr>
        <w:spacing w:after="120"/>
        <w:ind w:right="1" w:firstLine="0"/>
        <w:jc w:val="center"/>
        <w:rPr>
          <w:rFonts w:asciiTheme="majorHAnsi" w:hAnsiTheme="majorHAnsi"/>
          <w:b/>
        </w:rPr>
      </w:pPr>
      <w:r w:rsidRPr="00EB6A96">
        <w:rPr>
          <w:rFonts w:asciiTheme="majorHAnsi" w:hAnsiTheme="majorHAnsi"/>
          <w:b/>
        </w:rPr>
        <w:t xml:space="preserve">Soit : Demande Globale = C + I + G + (X – M) </w:t>
      </w:r>
      <w:r w:rsidRPr="00EB6A96">
        <w:rPr>
          <w:rFonts w:asciiTheme="majorHAnsi" w:hAnsiTheme="majorHAnsi"/>
          <w:b/>
        </w:rPr>
        <w:sym w:font="Symbol" w:char="F0DE"/>
      </w:r>
      <w:r w:rsidRPr="00EB6A96">
        <w:rPr>
          <w:rFonts w:asciiTheme="majorHAnsi" w:hAnsiTheme="majorHAnsi"/>
          <w:b/>
        </w:rPr>
        <w:t xml:space="preserve"> Niveau de l’Offre Globale  </w:t>
      </w:r>
      <w:r w:rsidRPr="00EB6A96">
        <w:rPr>
          <w:rFonts w:asciiTheme="majorHAnsi" w:hAnsiTheme="majorHAnsi"/>
          <w:b/>
        </w:rPr>
        <w:sym w:font="Symbol" w:char="F0DE"/>
      </w:r>
      <w:r w:rsidRPr="00EB6A96">
        <w:rPr>
          <w:rFonts w:asciiTheme="majorHAnsi" w:hAnsiTheme="majorHAnsi"/>
          <w:b/>
        </w:rPr>
        <w:t xml:space="preserve">  Niveau de l’emploi.</w:t>
      </w:r>
    </w:p>
    <w:p w:rsidR="00264BA7" w:rsidRDefault="00264BA7" w:rsidP="00F9520B">
      <w:pPr>
        <w:pStyle w:val="BodyTextIndent"/>
        <w:ind w:right="1"/>
        <w:rPr>
          <w:rFonts w:asciiTheme="majorHAnsi" w:hAnsiTheme="majorHAnsi"/>
        </w:rPr>
      </w:pPr>
    </w:p>
    <w:p w:rsidR="00264BA7" w:rsidRDefault="00264BA7" w:rsidP="00F9520B">
      <w:pPr>
        <w:pStyle w:val="BodyTextIndent"/>
        <w:ind w:right="1"/>
        <w:rPr>
          <w:rFonts w:asciiTheme="majorHAnsi" w:hAnsiTheme="majorHAnsi"/>
        </w:rPr>
      </w:pPr>
    </w:p>
    <w:p w:rsidR="00264BA7" w:rsidRDefault="00264BA7" w:rsidP="00F9520B">
      <w:pPr>
        <w:pStyle w:val="BodyTextIndent"/>
        <w:ind w:right="1"/>
        <w:rPr>
          <w:rFonts w:asciiTheme="majorHAnsi" w:hAnsiTheme="majorHAnsi"/>
        </w:rPr>
      </w:pPr>
    </w:p>
    <w:p w:rsidR="00264BA7" w:rsidRDefault="00264BA7" w:rsidP="00F9520B">
      <w:pPr>
        <w:pStyle w:val="BodyTextIndent"/>
        <w:ind w:right="1"/>
        <w:rPr>
          <w:rFonts w:asciiTheme="majorHAnsi" w:hAnsiTheme="majorHAnsi"/>
        </w:rPr>
      </w:pPr>
    </w:p>
    <w:p w:rsidR="00264BA7" w:rsidRDefault="00264BA7" w:rsidP="00F9520B">
      <w:pPr>
        <w:pStyle w:val="BodyTextIndent"/>
        <w:ind w:right="1"/>
        <w:rPr>
          <w:rFonts w:asciiTheme="majorHAnsi" w:hAnsiTheme="majorHAnsi"/>
        </w:rPr>
      </w:pPr>
    </w:p>
    <w:p w:rsidR="00264BA7" w:rsidRDefault="00264BA7" w:rsidP="00F9520B">
      <w:pPr>
        <w:pStyle w:val="BodyTextIndent"/>
        <w:ind w:right="1"/>
        <w:rPr>
          <w:rFonts w:asciiTheme="majorHAnsi" w:hAnsiTheme="majorHAnsi"/>
        </w:rPr>
      </w:pPr>
    </w:p>
    <w:p w:rsidR="00EB6A96" w:rsidRPr="00F9520B" w:rsidRDefault="00F9520B" w:rsidP="002324A1">
      <w:pPr>
        <w:pStyle w:val="BodyTextIndent"/>
        <w:spacing w:after="120"/>
        <w:ind w:right="1"/>
        <w:rPr>
          <w:rFonts w:asciiTheme="majorHAnsi" w:hAnsiTheme="majorHAnsi"/>
        </w:rPr>
      </w:pPr>
      <w:r w:rsidRPr="00F9520B">
        <w:rPr>
          <w:rFonts w:asciiTheme="majorHAnsi" w:hAnsiTheme="majorHAnsi"/>
        </w:rPr>
        <w:t>Si l’on voulait traduire sous</w:t>
      </w:r>
      <w:r>
        <w:rPr>
          <w:rFonts w:asciiTheme="majorHAnsi" w:hAnsiTheme="majorHAnsi"/>
        </w:rPr>
        <w:t xml:space="preserve"> </w:t>
      </w:r>
      <w:r w:rsidR="00264BA7">
        <w:rPr>
          <w:rFonts w:asciiTheme="majorHAnsi" w:hAnsiTheme="majorHAnsi"/>
        </w:rPr>
        <w:t xml:space="preserve">une </w:t>
      </w:r>
      <w:r>
        <w:rPr>
          <w:rFonts w:asciiTheme="majorHAnsi" w:hAnsiTheme="majorHAnsi"/>
        </w:rPr>
        <w:t xml:space="preserve">forme </w:t>
      </w:r>
      <w:r w:rsidR="00264BA7">
        <w:rPr>
          <w:rFonts w:asciiTheme="majorHAnsi" w:hAnsiTheme="majorHAnsi"/>
        </w:rPr>
        <w:t>analogue</w:t>
      </w:r>
      <w:r>
        <w:rPr>
          <w:rFonts w:asciiTheme="majorHAnsi" w:hAnsiTheme="majorHAnsi"/>
        </w:rPr>
        <w:t xml:space="preserve"> la logique néo-classique, </w:t>
      </w:r>
      <w:r w:rsidR="00264BA7">
        <w:rPr>
          <w:rFonts w:asciiTheme="majorHAnsi" w:hAnsiTheme="majorHAnsi"/>
        </w:rPr>
        <w:t xml:space="preserve">cela donnerait le schéma suivant : </w:t>
      </w:r>
    </w:p>
    <w:p w:rsidR="0076782A" w:rsidRPr="00E42FA1" w:rsidRDefault="00E22497" w:rsidP="00EB6A96">
      <w:pPr>
        <w:pStyle w:val="BodyTextIndent"/>
        <w:ind w:right="1"/>
        <w:jc w:val="center"/>
        <w:rPr>
          <w:rFonts w:asciiTheme="majorHAnsi" w:hAnsiTheme="majorHAnsi"/>
          <w:b/>
          <w:sz w:val="24"/>
          <w:szCs w:val="24"/>
        </w:rPr>
      </w:pPr>
      <w:r w:rsidRPr="00E22497">
        <w:rPr>
          <w:rFonts w:asciiTheme="majorHAnsi" w:hAnsiTheme="majorHAnsi"/>
          <w:noProof/>
        </w:rPr>
        <w:pict>
          <v:shape id="_x0000_s1113" type="#_x0000_t105" style="position:absolute;left:0;text-align:left;margin-left:117.3pt;margin-top:13.65pt;width:58.3pt;height:23.45pt;z-index:251749376"/>
        </w:pict>
      </w:r>
      <w:r w:rsidRPr="00E22497">
        <w:rPr>
          <w:rFonts w:asciiTheme="majorHAnsi" w:hAnsiTheme="majorHAnsi"/>
          <w:noProof/>
        </w:rPr>
        <w:pict>
          <v:shape id="_x0000_s1105" type="#_x0000_t202" style="position:absolute;left:0;text-align:left;margin-left:-.25pt;margin-top:13.65pt;width:117.55pt;height:43.55pt;z-index:251741184;mso-width-relative:margin;mso-height-relative:margin">
            <v:textbox style="mso-next-textbox:#_x0000_s1105">
              <w:txbxContent>
                <w:p w:rsidR="003E53CA" w:rsidRDefault="003E53CA" w:rsidP="002A19D8">
                  <w:pPr>
                    <w:jc w:val="center"/>
                    <w:rPr>
                      <w:rFonts w:asciiTheme="majorHAnsi" w:hAnsiTheme="majorHAnsi"/>
                      <w:b/>
                    </w:rPr>
                  </w:pPr>
                  <w:r>
                    <w:rPr>
                      <w:rFonts w:asciiTheme="majorHAnsi" w:hAnsiTheme="majorHAnsi"/>
                      <w:b/>
                    </w:rPr>
                    <w:t>Offre de travail</w:t>
                  </w:r>
                </w:p>
                <w:p w:rsidR="003E53CA" w:rsidRPr="002A19D8" w:rsidRDefault="003E53CA" w:rsidP="002A19D8">
                  <w:pPr>
                    <w:jc w:val="center"/>
                    <w:rPr>
                      <w:rFonts w:asciiTheme="majorHAnsi" w:hAnsiTheme="majorHAnsi"/>
                      <w:b/>
                    </w:rPr>
                  </w:pPr>
                  <w:r>
                    <w:rPr>
                      <w:rFonts w:asciiTheme="majorHAnsi" w:hAnsiTheme="majorHAnsi"/>
                      <w:b/>
                    </w:rPr>
                    <w:t>(Population active disponible)</w:t>
                  </w:r>
                </w:p>
              </w:txbxContent>
            </v:textbox>
          </v:shape>
        </w:pict>
      </w:r>
    </w:p>
    <w:p w:rsidR="00264BA7" w:rsidRDefault="00E22497" w:rsidP="00EB6A96">
      <w:pPr>
        <w:pStyle w:val="BodyTextIndent"/>
        <w:ind w:right="1"/>
        <w:jc w:val="center"/>
        <w:rPr>
          <w:rFonts w:asciiTheme="majorHAnsi" w:hAnsiTheme="majorHAnsi"/>
          <w:b/>
          <w:sz w:val="28"/>
          <w:szCs w:val="28"/>
        </w:rPr>
      </w:pPr>
      <w:r w:rsidRPr="00E22497">
        <w:rPr>
          <w:rFonts w:asciiTheme="majorHAnsi" w:hAnsiTheme="majorHAnsi"/>
          <w:b/>
          <w:noProof/>
          <w:sz w:val="28"/>
          <w:szCs w:val="28"/>
        </w:rPr>
        <w:pict>
          <v:shape id="_x0000_s1109" type="#_x0000_t202" style="position:absolute;left:0;text-align:left;margin-left:372.8pt;margin-top:7.05pt;width:82.9pt;height:81.2pt;z-index:251745280;mso-width-relative:margin;mso-height-relative:margin">
            <v:textbox>
              <w:txbxContent>
                <w:p w:rsidR="003E53CA" w:rsidRPr="00150FE4" w:rsidRDefault="003E53CA" w:rsidP="00C42043">
                  <w:pPr>
                    <w:jc w:val="center"/>
                    <w:rPr>
                      <w:rFonts w:asciiTheme="majorHAnsi" w:hAnsiTheme="majorHAnsi"/>
                      <w:b/>
                      <w:sz w:val="26"/>
                      <w:szCs w:val="26"/>
                    </w:rPr>
                  </w:pPr>
                  <w:r w:rsidRPr="00150FE4">
                    <w:rPr>
                      <w:rFonts w:asciiTheme="majorHAnsi" w:hAnsiTheme="majorHAnsi"/>
                      <w:b/>
                      <w:sz w:val="26"/>
                      <w:szCs w:val="26"/>
                    </w:rPr>
                    <w:t>Plein-emploi</w:t>
                  </w:r>
                </w:p>
                <w:p w:rsidR="003E53CA" w:rsidRPr="00150FE4" w:rsidRDefault="003E53CA" w:rsidP="00C42043">
                  <w:pPr>
                    <w:jc w:val="center"/>
                    <w:rPr>
                      <w:rFonts w:asciiTheme="majorHAnsi" w:hAnsiTheme="majorHAnsi"/>
                      <w:b/>
                      <w:sz w:val="26"/>
                      <w:szCs w:val="26"/>
                    </w:rPr>
                  </w:pPr>
                  <w:r w:rsidRPr="00150FE4">
                    <w:rPr>
                      <w:rFonts w:asciiTheme="majorHAnsi" w:hAnsiTheme="majorHAnsi"/>
                      <w:b/>
                      <w:sz w:val="26"/>
                      <w:szCs w:val="26"/>
                    </w:rPr>
                    <w:t>(Chômage volontaire)</w:t>
                  </w:r>
                </w:p>
              </w:txbxContent>
            </v:textbox>
          </v:shape>
        </w:pict>
      </w:r>
      <w:r w:rsidRPr="00E22497">
        <w:rPr>
          <w:rFonts w:asciiTheme="majorHAnsi" w:hAnsiTheme="majorHAnsi"/>
          <w:b/>
          <w:noProof/>
          <w:sz w:val="28"/>
          <w:szCs w:val="28"/>
        </w:rPr>
        <w:pict>
          <v:shape id="_x0000_s1108" type="#_x0000_t202" style="position:absolute;left:0;text-align:left;margin-left:236.1pt;margin-top:7.05pt;width:117.55pt;height:81.2pt;z-index:251744256;mso-width-relative:margin;mso-height-relative:margin">
            <v:textbox>
              <w:txbxContent>
                <w:p w:rsidR="003E53CA" w:rsidRDefault="003E53CA" w:rsidP="00C42043">
                  <w:pPr>
                    <w:jc w:val="center"/>
                    <w:rPr>
                      <w:rFonts w:asciiTheme="majorHAnsi" w:hAnsiTheme="majorHAnsi"/>
                      <w:b/>
                    </w:rPr>
                  </w:pPr>
                  <w:r>
                    <w:rPr>
                      <w:rFonts w:asciiTheme="majorHAnsi" w:hAnsiTheme="majorHAnsi"/>
                      <w:b/>
                    </w:rPr>
                    <w:t xml:space="preserve">Désutilité marginale du travail = </w:t>
                  </w:r>
                </w:p>
                <w:p w:rsidR="003E53CA" w:rsidRDefault="003E53CA" w:rsidP="00C42043">
                  <w:pPr>
                    <w:jc w:val="center"/>
                    <w:rPr>
                      <w:rFonts w:asciiTheme="majorHAnsi" w:hAnsiTheme="majorHAnsi"/>
                      <w:b/>
                    </w:rPr>
                  </w:pPr>
                  <w:r w:rsidRPr="00A135F5">
                    <w:rPr>
                      <w:rFonts w:asciiTheme="majorHAnsi" w:hAnsiTheme="majorHAnsi"/>
                      <w:b/>
                      <w:color w:val="000000" w:themeColor="text1"/>
                      <w:highlight w:val="yellow"/>
                    </w:rPr>
                    <w:t>Taux de salaire d’équilibre</w:t>
                  </w:r>
                  <w:r>
                    <w:rPr>
                      <w:rFonts w:asciiTheme="majorHAnsi" w:hAnsiTheme="majorHAnsi"/>
                      <w:b/>
                    </w:rPr>
                    <w:t xml:space="preserve"> = </w:t>
                  </w:r>
                </w:p>
                <w:p w:rsidR="003E53CA" w:rsidRPr="002A19D8" w:rsidRDefault="003E53CA" w:rsidP="00C42043">
                  <w:pPr>
                    <w:jc w:val="center"/>
                    <w:rPr>
                      <w:rFonts w:asciiTheme="majorHAnsi" w:hAnsiTheme="majorHAnsi"/>
                      <w:b/>
                    </w:rPr>
                  </w:pPr>
                  <w:r>
                    <w:rPr>
                      <w:rFonts w:asciiTheme="majorHAnsi" w:hAnsiTheme="majorHAnsi"/>
                      <w:b/>
                    </w:rPr>
                    <w:t>Productivité marginale du travail</w:t>
                  </w:r>
                </w:p>
              </w:txbxContent>
            </v:textbox>
          </v:shape>
        </w:pict>
      </w:r>
    </w:p>
    <w:p w:rsidR="00264BA7" w:rsidRDefault="00E22497" w:rsidP="00EB6A96">
      <w:pPr>
        <w:pStyle w:val="BodyTextIndent"/>
        <w:ind w:right="1"/>
        <w:jc w:val="center"/>
        <w:rPr>
          <w:rFonts w:asciiTheme="majorHAnsi" w:hAnsiTheme="majorHAnsi"/>
          <w:b/>
          <w:sz w:val="28"/>
          <w:szCs w:val="28"/>
        </w:rPr>
      </w:pPr>
      <w:r w:rsidRPr="00E22497">
        <w:rPr>
          <w:rFonts w:asciiTheme="majorHAnsi" w:hAnsiTheme="majorHAnsi"/>
          <w:b/>
          <w:noProof/>
          <w:sz w:val="28"/>
          <w:szCs w:val="28"/>
        </w:rPr>
        <w:pict>
          <v:oval id="_x0000_s1107" style="position:absolute;left:0;text-align:left;margin-left:124.15pt;margin-top:6.6pt;width:107.2pt;height:46.85pt;z-index:251743232">
            <v:textbox>
              <w:txbxContent>
                <w:p w:rsidR="003E53CA" w:rsidRPr="002E101A" w:rsidRDefault="003E53CA" w:rsidP="00A66C75">
                  <w:pPr>
                    <w:jc w:val="center"/>
                    <w:rPr>
                      <w:rFonts w:asciiTheme="majorHAnsi" w:hAnsiTheme="majorHAnsi"/>
                      <w:b/>
                      <w:sz w:val="24"/>
                      <w:szCs w:val="24"/>
                    </w:rPr>
                  </w:pPr>
                  <w:r w:rsidRPr="002E101A">
                    <w:rPr>
                      <w:rFonts w:asciiTheme="majorHAnsi" w:hAnsiTheme="majorHAnsi"/>
                      <w:b/>
                      <w:sz w:val="24"/>
                      <w:szCs w:val="24"/>
                    </w:rPr>
                    <w:t>Marché du travail</w:t>
                  </w:r>
                </w:p>
              </w:txbxContent>
            </v:textbox>
          </v:oval>
        </w:pict>
      </w:r>
    </w:p>
    <w:p w:rsidR="002A19D8" w:rsidRDefault="00E22497" w:rsidP="00EB6A96">
      <w:pPr>
        <w:pStyle w:val="BodyTextIndent"/>
        <w:ind w:right="1"/>
        <w:jc w:val="center"/>
        <w:rPr>
          <w:rFonts w:asciiTheme="majorHAnsi" w:hAnsiTheme="majorHAnsi"/>
          <w:b/>
          <w:sz w:val="28"/>
          <w:szCs w:val="28"/>
        </w:rPr>
      </w:pPr>
      <w:r w:rsidRPr="00E22497">
        <w:rPr>
          <w:rFonts w:asciiTheme="majorHAnsi" w:hAnsiTheme="majorHAnsi"/>
          <w:b/>
          <w:noProof/>
          <w:sz w:val="28"/>
          <w:szCs w:val="28"/>
        </w:rPr>
        <w:pict>
          <v:shape id="_x0000_s1122" type="#_x0000_t13" style="position:absolute;left:0;text-align:left;margin-left:353.65pt;margin-top:9pt;width:19.15pt;height:7.15pt;z-index:251757568" fillcolor="red"/>
        </w:pict>
      </w:r>
      <w:r w:rsidRPr="00E22497">
        <w:rPr>
          <w:rFonts w:asciiTheme="majorHAnsi" w:hAnsiTheme="majorHAnsi"/>
          <w:b/>
          <w:noProof/>
          <w:color w:val="FF0000"/>
          <w:sz w:val="28"/>
          <w:szCs w:val="28"/>
        </w:rPr>
        <w:pict>
          <v:shape id="_x0000_s1115" type="#_x0000_t13" style="position:absolute;left:0;text-align:left;margin-left:223.8pt;margin-top:10.3pt;width:20.1pt;height:7.15pt;z-index:251751424" fillcolor="red"/>
        </w:pict>
      </w:r>
    </w:p>
    <w:p w:rsidR="002A19D8" w:rsidRDefault="00E22497" w:rsidP="00EB6A96">
      <w:pPr>
        <w:pStyle w:val="BodyTextIndent"/>
        <w:ind w:right="1"/>
        <w:jc w:val="center"/>
        <w:rPr>
          <w:rFonts w:asciiTheme="majorHAnsi" w:hAnsiTheme="majorHAnsi"/>
          <w:b/>
          <w:sz w:val="28"/>
          <w:szCs w:val="28"/>
        </w:rPr>
      </w:pPr>
      <w:r w:rsidRPr="00E22497">
        <w:rPr>
          <w:rFonts w:asciiTheme="majorHAnsi" w:hAnsiTheme="majorHAnsi"/>
          <w:b/>
          <w:noProof/>
          <w:sz w:val="28"/>
          <w:szCs w:val="28"/>
        </w:rPr>
        <w:pict>
          <v:shape id="_x0000_s1106" type="#_x0000_t202" style="position:absolute;left:0;text-align:left;margin-left:-.25pt;margin-top:-.25pt;width:117.55pt;height:43.55pt;z-index:251742208;mso-width-relative:margin;mso-height-relative:margin">
            <v:textbox>
              <w:txbxContent>
                <w:p w:rsidR="003E53CA" w:rsidRDefault="003E53CA" w:rsidP="002A19D8">
                  <w:pPr>
                    <w:jc w:val="center"/>
                    <w:rPr>
                      <w:rFonts w:asciiTheme="majorHAnsi" w:hAnsiTheme="majorHAnsi"/>
                      <w:b/>
                    </w:rPr>
                  </w:pPr>
                  <w:r>
                    <w:rPr>
                      <w:rFonts w:asciiTheme="majorHAnsi" w:hAnsiTheme="majorHAnsi"/>
                      <w:b/>
                    </w:rPr>
                    <w:t>Demande de travail</w:t>
                  </w:r>
                </w:p>
                <w:p w:rsidR="003E53CA" w:rsidRPr="002A19D8" w:rsidRDefault="003E53CA" w:rsidP="002A19D8">
                  <w:pPr>
                    <w:jc w:val="center"/>
                    <w:rPr>
                      <w:rFonts w:asciiTheme="majorHAnsi" w:hAnsiTheme="majorHAnsi"/>
                      <w:b/>
                    </w:rPr>
                  </w:pPr>
                  <w:r>
                    <w:rPr>
                      <w:rFonts w:asciiTheme="majorHAnsi" w:hAnsiTheme="majorHAnsi"/>
                      <w:b/>
                    </w:rPr>
                    <w:t>(de la part des Entreprises)</w:t>
                  </w:r>
                </w:p>
              </w:txbxContent>
            </v:textbox>
          </v:shape>
        </w:pict>
      </w:r>
    </w:p>
    <w:p w:rsidR="002A19D8" w:rsidRDefault="00E22497" w:rsidP="00EB6A96">
      <w:pPr>
        <w:pStyle w:val="BodyTextIndent"/>
        <w:ind w:right="1"/>
        <w:jc w:val="center"/>
        <w:rPr>
          <w:rFonts w:asciiTheme="majorHAnsi" w:hAnsiTheme="majorHAnsi"/>
          <w:b/>
          <w:sz w:val="28"/>
          <w:szCs w:val="28"/>
        </w:rPr>
      </w:pPr>
      <w:r w:rsidRPr="00E22497">
        <w:rPr>
          <w:rFonts w:asciiTheme="majorHAnsi" w:hAnsiTheme="majorHAnsi"/>
          <w:b/>
          <w:noProof/>
          <w:sz w:val="28"/>
          <w:szCs w:val="28"/>
        </w:rPr>
        <w:pict>
          <v:shape id="_x0000_s1114" type="#_x0000_t104" style="position:absolute;left:0;text-align:left;margin-left:117.3pt;margin-top:4.2pt;width:58.3pt;height:22.65pt;z-index:251750400" adj=",19748"/>
        </w:pict>
      </w:r>
    </w:p>
    <w:p w:rsidR="002A19D8" w:rsidRDefault="00E22497" w:rsidP="00EB6A96">
      <w:pPr>
        <w:pStyle w:val="BodyTextIndent"/>
        <w:ind w:right="1"/>
        <w:jc w:val="center"/>
        <w:rPr>
          <w:rFonts w:asciiTheme="majorHAnsi" w:hAnsiTheme="majorHAnsi"/>
          <w:b/>
          <w:sz w:val="28"/>
          <w:szCs w:val="28"/>
        </w:rPr>
      </w:pPr>
      <w:r w:rsidRPr="00E22497">
        <w:rPr>
          <w:rFonts w:asciiTheme="majorHAnsi" w:hAnsiTheme="majorHAnsi"/>
          <w:noProof/>
          <w:color w:val="FF0000"/>
        </w:rPr>
        <w:pict>
          <v:shape id="_x0000_s1119" type="#_x0000_t13" style="position:absolute;left:0;text-align:left;margin-left:286pt;margin-top:12.65pt;width:20.1pt;height:7.15pt;rotation:90;z-index:251755520" fillcolor="red"/>
        </w:pict>
      </w:r>
    </w:p>
    <w:p w:rsidR="002A19D8" w:rsidRDefault="00E22497" w:rsidP="00EB6A96">
      <w:pPr>
        <w:pStyle w:val="BodyTextIndent"/>
        <w:ind w:right="1"/>
        <w:jc w:val="center"/>
        <w:rPr>
          <w:rFonts w:asciiTheme="majorHAnsi" w:hAnsiTheme="majorHAnsi"/>
          <w:b/>
          <w:sz w:val="28"/>
          <w:szCs w:val="28"/>
        </w:rPr>
      </w:pPr>
      <w:r w:rsidRPr="00E22497">
        <w:rPr>
          <w:rFonts w:asciiTheme="majorHAnsi" w:hAnsiTheme="majorHAnsi"/>
          <w:noProof/>
          <w:lang w:eastAsia="en-US"/>
        </w:rPr>
        <w:pict>
          <v:shape id="_x0000_s1104" type="#_x0000_t202" style="position:absolute;left:0;text-align:left;margin-left:117.3pt;margin-top:9.9pt;width:110.15pt;height:45.2pt;z-index:251740160;mso-width-relative:margin;mso-height-relative:margin">
            <v:textbox>
              <w:txbxContent>
                <w:p w:rsidR="003E53CA" w:rsidRPr="00A135F5" w:rsidRDefault="003E53CA" w:rsidP="002A19D8">
                  <w:pPr>
                    <w:jc w:val="center"/>
                    <w:rPr>
                      <w:rFonts w:asciiTheme="majorHAnsi" w:hAnsiTheme="majorHAnsi"/>
                      <w:b/>
                      <w:color w:val="FF0000"/>
                    </w:rPr>
                  </w:pPr>
                  <w:r w:rsidRPr="00A135F5">
                    <w:rPr>
                      <w:rFonts w:asciiTheme="majorHAnsi" w:hAnsiTheme="majorHAnsi"/>
                      <w:b/>
                      <w:color w:val="FF0000"/>
                    </w:rPr>
                    <w:t>Capacités de production disponibles</w:t>
                  </w:r>
                </w:p>
              </w:txbxContent>
            </v:textbox>
          </v:shape>
        </w:pict>
      </w:r>
      <w:r w:rsidRPr="00E22497">
        <w:rPr>
          <w:rFonts w:asciiTheme="majorHAnsi" w:hAnsiTheme="majorHAnsi"/>
          <w:b/>
          <w:noProof/>
          <w:sz w:val="28"/>
          <w:szCs w:val="28"/>
        </w:rPr>
        <w:pict>
          <v:shape id="_x0000_s1118" type="#_x0000_t202" style="position:absolute;left:0;text-align:left;margin-left:236.1pt;margin-top:9.9pt;width:117.55pt;height:45.2pt;z-index:251754496;mso-width-relative:margin;mso-height-relative:margin">
            <v:textbox>
              <w:txbxContent>
                <w:p w:rsidR="003E53CA" w:rsidRPr="00A135F5" w:rsidRDefault="003E53CA" w:rsidP="00A46AB1">
                  <w:pPr>
                    <w:jc w:val="center"/>
                    <w:rPr>
                      <w:rFonts w:asciiTheme="majorHAnsi" w:hAnsiTheme="majorHAnsi"/>
                      <w:b/>
                      <w:color w:val="FF0000"/>
                    </w:rPr>
                  </w:pPr>
                  <w:r w:rsidRPr="00A135F5">
                    <w:rPr>
                      <w:rFonts w:asciiTheme="majorHAnsi" w:hAnsiTheme="majorHAnsi"/>
                      <w:b/>
                      <w:color w:val="FF0000"/>
                    </w:rPr>
                    <w:t>Niveau de l’emploi (quantités de travail utilisées)</w:t>
                  </w:r>
                </w:p>
              </w:txbxContent>
            </v:textbox>
          </v:shape>
        </w:pict>
      </w:r>
    </w:p>
    <w:p w:rsidR="002A19D8" w:rsidRDefault="002A19D8" w:rsidP="00EB6A96">
      <w:pPr>
        <w:pStyle w:val="BodyTextIndent"/>
        <w:ind w:right="1"/>
        <w:jc w:val="center"/>
        <w:rPr>
          <w:rFonts w:asciiTheme="majorHAnsi" w:hAnsiTheme="majorHAnsi"/>
          <w:b/>
          <w:sz w:val="28"/>
          <w:szCs w:val="28"/>
        </w:rPr>
      </w:pPr>
    </w:p>
    <w:p w:rsidR="00150FE4" w:rsidRDefault="00E22497">
      <w:pPr>
        <w:spacing w:after="200" w:line="276" w:lineRule="auto"/>
        <w:rPr>
          <w:rFonts w:asciiTheme="majorHAnsi" w:hAnsiTheme="majorHAnsi"/>
          <w:b/>
          <w:sz w:val="28"/>
          <w:szCs w:val="28"/>
        </w:rPr>
      </w:pPr>
      <w:r w:rsidRPr="00E22497">
        <w:rPr>
          <w:rFonts w:asciiTheme="majorHAnsi" w:hAnsiTheme="majorHAnsi"/>
          <w:b/>
          <w:noProof/>
          <w:sz w:val="28"/>
          <w:szCs w:val="28"/>
        </w:rPr>
        <w:pict>
          <v:shapetype id="_x0000_t70" coordsize="21600,21600" o:spt="70" adj="5400,4320" path="m1080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24" type="#_x0000_t70" style="position:absolute;margin-left:292.45pt;margin-top:22.25pt;width:7.15pt;height:26.85pt;z-index:251759616" fillcolor="red">
            <v:textbox style="layout-flow:vertical-ideographic"/>
          </v:shape>
        </w:pict>
      </w:r>
      <w:r w:rsidRPr="00E22497">
        <w:rPr>
          <w:rFonts w:asciiTheme="majorHAnsi" w:hAnsiTheme="majorHAnsi"/>
          <w:b/>
          <w:noProof/>
          <w:sz w:val="28"/>
          <w:szCs w:val="28"/>
        </w:rPr>
        <w:pict>
          <v:shape id="_x0000_s1123" type="#_x0000_t70" style="position:absolute;margin-left:168.45pt;margin-top:22.25pt;width:7.15pt;height:26.85pt;z-index:251758592" fillcolor="red">
            <v:textbox style="layout-flow:vertical-ideographic"/>
          </v:shape>
        </w:pict>
      </w:r>
    </w:p>
    <w:p w:rsidR="00150FE4" w:rsidRDefault="00E22497">
      <w:pPr>
        <w:spacing w:after="200" w:line="276" w:lineRule="auto"/>
        <w:rPr>
          <w:rFonts w:asciiTheme="majorHAnsi" w:hAnsiTheme="majorHAnsi"/>
          <w:b/>
          <w:sz w:val="28"/>
          <w:szCs w:val="28"/>
        </w:rPr>
      </w:pPr>
      <w:r w:rsidRPr="00E22497">
        <w:rPr>
          <w:rFonts w:asciiTheme="majorHAnsi" w:hAnsiTheme="majorHAnsi"/>
          <w:b/>
          <w:noProof/>
          <w:sz w:val="28"/>
          <w:szCs w:val="28"/>
        </w:rPr>
        <w:pict>
          <v:shape id="_x0000_s1125" type="#_x0000_t202" style="position:absolute;margin-left:117.3pt;margin-top:20.25pt;width:236.35pt;height:45.2pt;z-index:251760640;mso-width-relative:margin;mso-height-relative:margin">
            <v:textbox>
              <w:txbxContent>
                <w:p w:rsidR="003E53CA" w:rsidRDefault="003E53CA" w:rsidP="002E101A">
                  <w:pPr>
                    <w:jc w:val="center"/>
                    <w:rPr>
                      <w:rFonts w:asciiTheme="majorHAnsi" w:hAnsiTheme="majorHAnsi"/>
                      <w:b/>
                    </w:rPr>
                  </w:pPr>
                  <w:r>
                    <w:rPr>
                      <w:rFonts w:asciiTheme="majorHAnsi" w:hAnsiTheme="majorHAnsi"/>
                      <w:b/>
                    </w:rPr>
                    <w:t>Fonction de production :</w:t>
                  </w:r>
                </w:p>
                <w:p w:rsidR="003E53CA" w:rsidRDefault="003E53CA" w:rsidP="002E101A">
                  <w:pPr>
                    <w:jc w:val="center"/>
                    <w:rPr>
                      <w:rFonts w:asciiTheme="majorHAnsi" w:hAnsiTheme="majorHAnsi"/>
                      <w:b/>
                    </w:rPr>
                  </w:pPr>
                  <w:r>
                    <w:rPr>
                      <w:rFonts w:asciiTheme="majorHAnsi" w:hAnsiTheme="majorHAnsi"/>
                      <w:b/>
                    </w:rPr>
                    <w:t>Q = f(K ; L)</w:t>
                  </w:r>
                </w:p>
                <w:p w:rsidR="003E53CA" w:rsidRPr="002E101A" w:rsidRDefault="003E53CA" w:rsidP="002E101A">
                  <w:pPr>
                    <w:jc w:val="center"/>
                    <w:rPr>
                      <w:rFonts w:asciiTheme="majorHAnsi" w:hAnsiTheme="majorHAnsi"/>
                      <w:b/>
                      <w:sz w:val="24"/>
                      <w:szCs w:val="24"/>
                    </w:rPr>
                  </w:pPr>
                  <w:r w:rsidRPr="002E101A">
                    <w:rPr>
                      <w:rFonts w:asciiTheme="majorHAnsi" w:hAnsiTheme="majorHAnsi"/>
                      <w:b/>
                      <w:sz w:val="24"/>
                      <w:szCs w:val="24"/>
                    </w:rPr>
                    <w:t>= Offre de produits</w:t>
                  </w:r>
                </w:p>
              </w:txbxContent>
            </v:textbox>
          </v:shape>
        </w:pict>
      </w:r>
    </w:p>
    <w:p w:rsidR="00150FE4" w:rsidRDefault="00150FE4">
      <w:pPr>
        <w:spacing w:after="200" w:line="276" w:lineRule="auto"/>
        <w:rPr>
          <w:rFonts w:asciiTheme="majorHAnsi" w:hAnsiTheme="majorHAnsi"/>
          <w:b/>
          <w:sz w:val="28"/>
          <w:szCs w:val="28"/>
        </w:rPr>
      </w:pPr>
    </w:p>
    <w:p w:rsidR="00150FE4" w:rsidRDefault="00E22497">
      <w:pPr>
        <w:spacing w:after="200" w:line="276" w:lineRule="auto"/>
        <w:rPr>
          <w:rFonts w:asciiTheme="majorHAnsi" w:hAnsiTheme="majorHAnsi"/>
          <w:b/>
          <w:sz w:val="28"/>
          <w:szCs w:val="28"/>
        </w:rPr>
      </w:pPr>
      <w:r w:rsidRPr="00E22497">
        <w:rPr>
          <w:rFonts w:asciiTheme="majorHAnsi" w:hAnsiTheme="majorHAnsi"/>
          <w:b/>
          <w:noProof/>
          <w:sz w:val="28"/>
          <w:szCs w:val="28"/>
        </w:rPr>
        <w:pict>
          <v:shape id="_x0000_s1127" type="#_x0000_t202" style="position:absolute;margin-left:117.3pt;margin-top:27.8pt;width:236.35pt;height:77.85pt;z-index:251762688;mso-width-relative:margin;mso-height-relative:margin">
            <v:textbox>
              <w:txbxContent>
                <w:p w:rsidR="003E53CA" w:rsidRPr="006E09E3" w:rsidRDefault="003E53CA" w:rsidP="006E09E3">
                  <w:pPr>
                    <w:jc w:val="center"/>
                    <w:rPr>
                      <w:rFonts w:asciiTheme="majorHAnsi" w:hAnsiTheme="majorHAnsi"/>
                      <w:b/>
                      <w:sz w:val="22"/>
                      <w:szCs w:val="22"/>
                    </w:rPr>
                  </w:pPr>
                  <w:r w:rsidRPr="006E09E3">
                    <w:rPr>
                      <w:rFonts w:asciiTheme="majorHAnsi" w:hAnsiTheme="majorHAnsi"/>
                      <w:b/>
                      <w:sz w:val="22"/>
                      <w:szCs w:val="22"/>
                    </w:rPr>
                    <w:t>Valeur de la production =</w:t>
                  </w:r>
                </w:p>
                <w:p w:rsidR="003E53CA" w:rsidRPr="006E09E3" w:rsidRDefault="003E53CA" w:rsidP="006E09E3">
                  <w:pPr>
                    <w:jc w:val="center"/>
                    <w:rPr>
                      <w:rFonts w:asciiTheme="majorHAnsi" w:hAnsiTheme="majorHAnsi"/>
                      <w:b/>
                      <w:sz w:val="22"/>
                      <w:szCs w:val="22"/>
                    </w:rPr>
                  </w:pPr>
                  <w:r w:rsidRPr="006E09E3">
                    <w:rPr>
                      <w:rFonts w:asciiTheme="majorHAnsi" w:hAnsiTheme="majorHAnsi"/>
                      <w:b/>
                      <w:sz w:val="22"/>
                      <w:szCs w:val="22"/>
                    </w:rPr>
                    <w:t>Valeur des revenus distribués =</w:t>
                  </w:r>
                </w:p>
                <w:p w:rsidR="003E53CA" w:rsidRPr="006E09E3" w:rsidRDefault="003E53CA" w:rsidP="006E09E3">
                  <w:pPr>
                    <w:jc w:val="center"/>
                    <w:rPr>
                      <w:rFonts w:asciiTheme="majorHAnsi" w:hAnsiTheme="majorHAnsi"/>
                      <w:b/>
                      <w:sz w:val="24"/>
                      <w:szCs w:val="24"/>
                    </w:rPr>
                  </w:pPr>
                  <w:r w:rsidRPr="006E09E3">
                    <w:rPr>
                      <w:rFonts w:asciiTheme="majorHAnsi" w:hAnsiTheme="majorHAnsi"/>
                      <w:b/>
                      <w:sz w:val="22"/>
                      <w:szCs w:val="22"/>
                    </w:rPr>
                    <w:t>Valeur de la demande</w:t>
                  </w:r>
                </w:p>
                <w:p w:rsidR="003E53CA" w:rsidRPr="006E09E3" w:rsidRDefault="003E53CA" w:rsidP="006E09E3">
                  <w:pPr>
                    <w:jc w:val="center"/>
                    <w:rPr>
                      <w:rFonts w:asciiTheme="majorHAnsi" w:hAnsiTheme="majorHAnsi"/>
                      <w:b/>
                      <w:sz w:val="24"/>
                      <w:szCs w:val="24"/>
                    </w:rPr>
                  </w:pPr>
                </w:p>
                <w:p w:rsidR="003E53CA" w:rsidRPr="006E09E3" w:rsidRDefault="003E53CA" w:rsidP="006E09E3">
                  <w:pPr>
                    <w:jc w:val="center"/>
                    <w:rPr>
                      <w:rFonts w:asciiTheme="majorHAnsi" w:hAnsiTheme="majorHAnsi"/>
                      <w:b/>
                      <w:color w:val="FF0000"/>
                      <w:sz w:val="24"/>
                      <w:szCs w:val="24"/>
                    </w:rPr>
                  </w:pPr>
                  <w:r w:rsidRPr="006E09E3">
                    <w:rPr>
                      <w:rFonts w:asciiTheme="majorHAnsi" w:hAnsiTheme="majorHAnsi"/>
                      <w:b/>
                      <w:color w:val="FF0000"/>
                      <w:sz w:val="24"/>
                      <w:szCs w:val="24"/>
                    </w:rPr>
                    <w:t>« L’offre crée sa propre demande »</w:t>
                  </w:r>
                </w:p>
              </w:txbxContent>
            </v:textbox>
          </v:shape>
        </w:pict>
      </w:r>
      <w:r w:rsidRPr="00E22497">
        <w:rPr>
          <w:rFonts w:asciiTheme="majorHAnsi" w:hAnsiTheme="majorHAnsi"/>
          <w:b/>
          <w:noProof/>
          <w:sz w:val="28"/>
          <w:szCs w:val="28"/>
        </w:rPr>
        <w:pict>
          <v:shape id="_x0000_s1126" type="#_x0000_t13" style="position:absolute;margin-left:221pt;margin-top:14.15pt;width:20.1pt;height:7.15pt;rotation:90;z-index:251761664" fillcolor="red"/>
        </w:pict>
      </w:r>
    </w:p>
    <w:p w:rsidR="00150FE4" w:rsidRDefault="00150FE4">
      <w:pPr>
        <w:spacing w:after="200" w:line="276" w:lineRule="auto"/>
        <w:rPr>
          <w:rFonts w:asciiTheme="majorHAnsi" w:hAnsiTheme="majorHAnsi"/>
          <w:b/>
          <w:sz w:val="28"/>
          <w:szCs w:val="28"/>
        </w:rPr>
      </w:pPr>
    </w:p>
    <w:p w:rsidR="00150FE4" w:rsidRDefault="00150FE4">
      <w:pPr>
        <w:spacing w:after="200" w:line="276" w:lineRule="auto"/>
        <w:rPr>
          <w:rFonts w:asciiTheme="majorHAnsi" w:hAnsiTheme="majorHAnsi"/>
          <w:b/>
          <w:sz w:val="28"/>
          <w:szCs w:val="28"/>
        </w:rPr>
      </w:pPr>
    </w:p>
    <w:p w:rsidR="00150FE4" w:rsidRDefault="00150FE4">
      <w:pPr>
        <w:spacing w:after="200" w:line="276" w:lineRule="auto"/>
        <w:rPr>
          <w:rFonts w:asciiTheme="majorHAnsi" w:hAnsiTheme="majorHAnsi"/>
          <w:b/>
          <w:sz w:val="28"/>
          <w:szCs w:val="28"/>
        </w:rPr>
      </w:pPr>
    </w:p>
    <w:p w:rsidR="00150FE4" w:rsidRDefault="00150FE4" w:rsidP="00150FE4">
      <w:pPr>
        <w:spacing w:after="200" w:line="276" w:lineRule="auto"/>
        <w:ind w:firstLine="567"/>
        <w:rPr>
          <w:rFonts w:asciiTheme="majorHAnsi" w:hAnsiTheme="majorHAnsi"/>
        </w:rPr>
      </w:pPr>
    </w:p>
    <w:p w:rsidR="0056489B" w:rsidRDefault="00150FE4" w:rsidP="00407BAD">
      <w:pPr>
        <w:pStyle w:val="BodyTextIndent"/>
        <w:spacing w:after="120"/>
        <w:ind w:right="1"/>
        <w:rPr>
          <w:rFonts w:asciiTheme="majorHAnsi" w:hAnsiTheme="majorHAnsi"/>
        </w:rPr>
      </w:pPr>
      <w:r w:rsidRPr="00A135F5">
        <w:rPr>
          <w:rFonts w:asciiTheme="majorHAnsi" w:hAnsiTheme="majorHAnsi"/>
          <w:i/>
        </w:rPr>
        <w:t xml:space="preserve">L’offre de </w:t>
      </w:r>
      <w:r w:rsidRPr="00407BAD">
        <w:rPr>
          <w:rFonts w:asciiTheme="majorHAnsi" w:hAnsiTheme="majorHAnsi"/>
        </w:rPr>
        <w:t>produits</w:t>
      </w:r>
      <w:r w:rsidRPr="00A135F5">
        <w:rPr>
          <w:rFonts w:asciiTheme="majorHAnsi" w:hAnsiTheme="majorHAnsi"/>
          <w:i/>
        </w:rPr>
        <w:t xml:space="preserve"> dépend d’une part des capacités de production disponibles, et d’autre part </w:t>
      </w:r>
      <w:r w:rsidR="00C463D1" w:rsidRPr="00A135F5">
        <w:rPr>
          <w:rFonts w:asciiTheme="majorHAnsi" w:hAnsiTheme="majorHAnsi"/>
          <w:i/>
        </w:rPr>
        <w:t>de l’équilibre qui s’instaure sur le marché du travail </w:t>
      </w:r>
      <w:r w:rsidR="0056489B" w:rsidRPr="00A135F5">
        <w:rPr>
          <w:rFonts w:asciiTheme="majorHAnsi" w:hAnsiTheme="majorHAnsi"/>
          <w:i/>
        </w:rPr>
        <w:t>sous l’effet de la loi de l’offre et de la demande</w:t>
      </w:r>
      <w:r w:rsidR="0056489B">
        <w:rPr>
          <w:rFonts w:asciiTheme="majorHAnsi" w:hAnsiTheme="majorHAnsi"/>
        </w:rPr>
        <w:t xml:space="preserve"> </w:t>
      </w:r>
      <w:r w:rsidR="00C463D1">
        <w:rPr>
          <w:rFonts w:asciiTheme="majorHAnsi" w:hAnsiTheme="majorHAnsi"/>
        </w:rPr>
        <w:t>:</w:t>
      </w:r>
    </w:p>
    <w:p w:rsidR="0056489B" w:rsidRPr="0056489B" w:rsidRDefault="0056489B" w:rsidP="003D1F98">
      <w:pPr>
        <w:pStyle w:val="BodyTextIndent"/>
        <w:numPr>
          <w:ilvl w:val="0"/>
          <w:numId w:val="42"/>
        </w:numPr>
        <w:spacing w:after="120"/>
        <w:ind w:right="1"/>
        <w:rPr>
          <w:rFonts w:asciiTheme="majorHAnsi" w:hAnsiTheme="majorHAnsi"/>
        </w:rPr>
      </w:pPr>
      <w:r>
        <w:rPr>
          <w:rFonts w:asciiTheme="majorHAnsi" w:hAnsiTheme="majorHAnsi"/>
        </w:rPr>
        <w:t>Si, à un instant donné, l’offre de travail excède la demande de travail, le taux de salaire a tendance à baisser jusqu’à ce que l’offre soit égale à la demande. Dans le cas contraire, si la demande excède l’offre de travail, le taux de salaire a tendance à croître jusqu’à ce que la demande égale l’offre.</w:t>
      </w:r>
    </w:p>
    <w:p w:rsidR="00150FE4" w:rsidRPr="0056489B" w:rsidRDefault="00FA7B3A" w:rsidP="003D1F98">
      <w:pPr>
        <w:pStyle w:val="BodyTextIndent"/>
        <w:numPr>
          <w:ilvl w:val="0"/>
          <w:numId w:val="42"/>
        </w:numPr>
        <w:spacing w:after="120"/>
        <w:ind w:right="1"/>
        <w:rPr>
          <w:rFonts w:asciiTheme="majorHAnsi" w:hAnsiTheme="majorHAnsi"/>
        </w:rPr>
      </w:pPr>
      <w:r w:rsidRPr="0056489B">
        <w:rPr>
          <w:rFonts w:asciiTheme="majorHAnsi" w:hAnsiTheme="majorHAnsi"/>
        </w:rPr>
        <w:t>de la confrontation de l’offre et de la demande de travail résulte un taux de salaire</w:t>
      </w:r>
      <w:r w:rsidR="0056489B">
        <w:rPr>
          <w:rFonts w:asciiTheme="majorHAnsi" w:hAnsiTheme="majorHAnsi"/>
        </w:rPr>
        <w:t xml:space="preserve"> (réel)</w:t>
      </w:r>
      <w:r w:rsidRPr="0056489B">
        <w:rPr>
          <w:rFonts w:asciiTheme="majorHAnsi" w:hAnsiTheme="majorHAnsi"/>
        </w:rPr>
        <w:t xml:space="preserve"> d’équilibre pour lequel tous ceux qui souhaitent travailler trouvent un emploi. Le chômage ne peut </w:t>
      </w:r>
      <w:r w:rsidR="0056489B">
        <w:rPr>
          <w:rFonts w:asciiTheme="majorHAnsi" w:hAnsiTheme="majorHAnsi"/>
        </w:rPr>
        <w:t xml:space="preserve">alors </w:t>
      </w:r>
      <w:r w:rsidRPr="0056489B">
        <w:rPr>
          <w:rFonts w:asciiTheme="majorHAnsi" w:hAnsiTheme="majorHAnsi"/>
        </w:rPr>
        <w:t>être que volontaire.</w:t>
      </w:r>
    </w:p>
    <w:p w:rsidR="00FA7B3A" w:rsidRDefault="00FA7B3A" w:rsidP="00407BAD">
      <w:pPr>
        <w:pStyle w:val="BodyTextIndent"/>
        <w:spacing w:after="120"/>
        <w:ind w:right="1"/>
        <w:rPr>
          <w:rFonts w:asciiTheme="majorHAnsi" w:hAnsiTheme="majorHAnsi"/>
        </w:rPr>
      </w:pPr>
      <w:r w:rsidRPr="00A135F5">
        <w:rPr>
          <w:rFonts w:asciiTheme="majorHAnsi" w:hAnsiTheme="majorHAnsi"/>
          <w:i/>
        </w:rPr>
        <w:t>La combinaison des capacités de production disponibles</w:t>
      </w:r>
      <w:r w:rsidR="00407BAD">
        <w:rPr>
          <w:rFonts w:asciiTheme="majorHAnsi" w:hAnsiTheme="majorHAnsi"/>
          <w:i/>
        </w:rPr>
        <w:t xml:space="preserve"> (K*)</w:t>
      </w:r>
      <w:r w:rsidRPr="00A135F5">
        <w:rPr>
          <w:rFonts w:asciiTheme="majorHAnsi" w:hAnsiTheme="majorHAnsi"/>
          <w:i/>
        </w:rPr>
        <w:t xml:space="preserve"> avec la quantité de travail qu’à ce salaire d’équilibre les entr</w:t>
      </w:r>
      <w:r w:rsidR="00407BAD">
        <w:rPr>
          <w:rFonts w:asciiTheme="majorHAnsi" w:hAnsiTheme="majorHAnsi"/>
          <w:i/>
        </w:rPr>
        <w:t xml:space="preserve">eprises sont prêtes à utiliser (L*) </w:t>
      </w:r>
      <w:r w:rsidRPr="00A135F5">
        <w:rPr>
          <w:rFonts w:asciiTheme="majorHAnsi" w:hAnsiTheme="majorHAnsi"/>
          <w:i/>
        </w:rPr>
        <w:t>détermine</w:t>
      </w:r>
      <w:r w:rsidR="00407BAD">
        <w:rPr>
          <w:rFonts w:asciiTheme="majorHAnsi" w:hAnsiTheme="majorHAnsi"/>
          <w:i/>
        </w:rPr>
        <w:t xml:space="preserve">, par le biais </w:t>
      </w:r>
      <w:r w:rsidR="00407BAD" w:rsidRPr="00A135F5">
        <w:rPr>
          <w:rFonts w:asciiTheme="majorHAnsi" w:hAnsiTheme="majorHAnsi"/>
          <w:i/>
        </w:rPr>
        <w:t xml:space="preserve">de la fonction de production, </w:t>
      </w:r>
      <w:r w:rsidRPr="00A135F5">
        <w:rPr>
          <w:rFonts w:asciiTheme="majorHAnsi" w:hAnsiTheme="majorHAnsi"/>
          <w:i/>
        </w:rPr>
        <w:t xml:space="preserve"> la quantité de biens et de services qui seront produits</w:t>
      </w:r>
      <w:r w:rsidR="00407BAD">
        <w:rPr>
          <w:rFonts w:asciiTheme="majorHAnsi" w:hAnsiTheme="majorHAnsi"/>
          <w:i/>
        </w:rPr>
        <w:t> : Q* = f(K* ; L*)</w:t>
      </w:r>
      <w:r w:rsidR="007C24E9">
        <w:rPr>
          <w:rFonts w:asciiTheme="majorHAnsi" w:hAnsiTheme="majorHAnsi"/>
        </w:rPr>
        <w:t>.</w:t>
      </w:r>
    </w:p>
    <w:p w:rsidR="007C24E9" w:rsidRDefault="007C24E9" w:rsidP="00407BAD">
      <w:pPr>
        <w:pStyle w:val="BodyTextIndent"/>
        <w:spacing w:after="120"/>
        <w:ind w:right="1"/>
        <w:rPr>
          <w:rFonts w:asciiTheme="majorHAnsi" w:hAnsiTheme="majorHAnsi"/>
        </w:rPr>
      </w:pPr>
      <w:r>
        <w:rPr>
          <w:rFonts w:asciiTheme="majorHAnsi" w:hAnsiTheme="majorHAnsi"/>
        </w:rPr>
        <w:t xml:space="preserve">La valeur de la production est redistribuée sous forme de revenus aux agents économiques : </w:t>
      </w:r>
      <w:r w:rsidRPr="00A135F5">
        <w:rPr>
          <w:rFonts w:asciiTheme="majorHAnsi" w:hAnsiTheme="majorHAnsi"/>
          <w:i/>
        </w:rPr>
        <w:t>pour les économistes néo-classiques, il y a donc toujours suffisamment de revenus pour que l’ensemble de la production soit écoulée</w:t>
      </w:r>
      <w:r>
        <w:rPr>
          <w:rFonts w:asciiTheme="majorHAnsi" w:hAnsiTheme="majorHAnsi"/>
        </w:rPr>
        <w:t> : c’est en ce sens que l’offre crée sa propre demande.</w:t>
      </w:r>
    </w:p>
    <w:p w:rsidR="00C42043" w:rsidRDefault="0056489B" w:rsidP="00407BAD">
      <w:pPr>
        <w:pStyle w:val="BodyTextIndent"/>
        <w:spacing w:after="120"/>
        <w:ind w:right="1"/>
        <w:rPr>
          <w:rFonts w:asciiTheme="majorHAnsi" w:hAnsiTheme="majorHAnsi"/>
        </w:rPr>
      </w:pPr>
      <w:r w:rsidRPr="00A135F5">
        <w:rPr>
          <w:rFonts w:asciiTheme="majorHAnsi" w:hAnsiTheme="majorHAnsi"/>
          <w:b/>
          <w:i/>
        </w:rPr>
        <w:t>En conclusion</w:t>
      </w:r>
      <w:r>
        <w:rPr>
          <w:rFonts w:asciiTheme="majorHAnsi" w:hAnsiTheme="majorHAnsi"/>
        </w:rPr>
        <w:t> : dans la logique keynésienne, c’est la demande qui détermine l’offre, alors que pour les économistes néo-classiques, c’est le niveau de l’offre qui détermine celui de la demande.</w:t>
      </w:r>
      <w:r w:rsidR="00407BAD">
        <w:rPr>
          <w:rFonts w:asciiTheme="majorHAnsi" w:hAnsiTheme="majorHAnsi"/>
        </w:rPr>
        <w:t xml:space="preserve"> Dans les deux cas, on a bien un équilibre Offre-Demande : pour les néo-classiques, si les mécanismes du marché fonctionnent sans entraves, cet équilibre est un équilibre de plein-emploi (du capital disponible d’une part, et du travail d’autre part, si les salariés acceptent de travailler pour le taux de salaire réel d’équilibre), </w:t>
      </w:r>
      <w:r w:rsidR="00EB481A">
        <w:rPr>
          <w:rFonts w:asciiTheme="majorHAnsi" w:hAnsiTheme="majorHAnsi"/>
        </w:rPr>
        <w:t xml:space="preserve">et </w:t>
      </w:r>
      <w:r w:rsidR="00407BAD">
        <w:rPr>
          <w:rFonts w:asciiTheme="majorHAnsi" w:hAnsiTheme="majorHAnsi"/>
        </w:rPr>
        <w:t>le chômage ne peut être que volontaire. Pour les keynésiens, le niveau de la demande anticipée peut s’avérer insuffisant pour que tout le capital disponible soit utilisé, et pour que tous ceux qui souhaitent travailler trouvent un emploi : dans ce cas, il existe du chômage involontaire.</w:t>
      </w:r>
    </w:p>
    <w:p w:rsidR="00EB481A" w:rsidRPr="00BE082B" w:rsidRDefault="00EB481A" w:rsidP="00407BAD">
      <w:pPr>
        <w:pStyle w:val="BodyTextIndent"/>
        <w:spacing w:after="120"/>
        <w:ind w:right="1"/>
        <w:rPr>
          <w:rFonts w:asciiTheme="majorHAnsi" w:hAnsiTheme="majorHAnsi"/>
        </w:rPr>
      </w:pPr>
    </w:p>
    <w:p w:rsidR="00EB6A96" w:rsidRPr="00F57325" w:rsidRDefault="00EB6A96" w:rsidP="00EB6A96">
      <w:pPr>
        <w:pStyle w:val="BodyTextIndent"/>
        <w:ind w:right="1"/>
        <w:jc w:val="center"/>
        <w:rPr>
          <w:rFonts w:asciiTheme="majorHAnsi" w:hAnsiTheme="majorHAnsi"/>
          <w:b/>
          <w:color w:val="FF0000"/>
          <w:sz w:val="28"/>
          <w:szCs w:val="28"/>
        </w:rPr>
      </w:pPr>
      <w:r w:rsidRPr="00F57325">
        <w:rPr>
          <w:rFonts w:asciiTheme="majorHAnsi" w:hAnsiTheme="majorHAnsi"/>
          <w:b/>
          <w:color w:val="FF0000"/>
          <w:sz w:val="28"/>
          <w:szCs w:val="28"/>
        </w:rPr>
        <w:t>Interprétation du schéma de l’annexe 1</w:t>
      </w:r>
    </w:p>
    <w:p w:rsidR="00EB6A96" w:rsidRPr="00E42FA1" w:rsidRDefault="00EB6A96" w:rsidP="00EB6A96">
      <w:pPr>
        <w:pStyle w:val="BodyTextIndent"/>
        <w:ind w:right="1"/>
        <w:jc w:val="center"/>
        <w:rPr>
          <w:rFonts w:asciiTheme="majorHAnsi" w:hAnsiTheme="majorHAnsi"/>
          <w:b/>
          <w:sz w:val="24"/>
          <w:szCs w:val="24"/>
        </w:rPr>
      </w:pPr>
    </w:p>
    <w:p w:rsidR="002A7130" w:rsidRPr="00EB6A96" w:rsidRDefault="002A7130" w:rsidP="003D1F98">
      <w:pPr>
        <w:pStyle w:val="BodyTextIndent"/>
        <w:numPr>
          <w:ilvl w:val="0"/>
          <w:numId w:val="25"/>
        </w:numPr>
        <w:ind w:right="1"/>
        <w:rPr>
          <w:rFonts w:asciiTheme="majorHAnsi" w:hAnsiTheme="majorHAnsi"/>
          <w:b/>
          <w:sz w:val="24"/>
          <w:szCs w:val="24"/>
        </w:rPr>
      </w:pPr>
      <w:r w:rsidRPr="00EB6A96">
        <w:rPr>
          <w:rFonts w:asciiTheme="majorHAnsi" w:hAnsiTheme="majorHAnsi"/>
          <w:b/>
          <w:sz w:val="24"/>
          <w:szCs w:val="24"/>
        </w:rPr>
        <w:t>La demande de consommation.</w:t>
      </w:r>
    </w:p>
    <w:p w:rsidR="002A7130" w:rsidRPr="00EB6A96" w:rsidRDefault="002A7130" w:rsidP="002A7130">
      <w:pPr>
        <w:pStyle w:val="BodyTextIndent"/>
        <w:ind w:right="1"/>
        <w:rPr>
          <w:rFonts w:asciiTheme="majorHAnsi" w:hAnsiTheme="majorHAnsi"/>
        </w:rPr>
      </w:pPr>
    </w:p>
    <w:p w:rsidR="00D854ED" w:rsidRDefault="002A7130" w:rsidP="00356247">
      <w:pPr>
        <w:pStyle w:val="BodyTextIndent"/>
        <w:spacing w:after="120"/>
        <w:ind w:right="1"/>
        <w:rPr>
          <w:rFonts w:asciiTheme="majorHAnsi" w:hAnsiTheme="majorHAnsi"/>
        </w:rPr>
      </w:pPr>
      <w:r w:rsidRPr="00EB6A96">
        <w:rPr>
          <w:rFonts w:asciiTheme="majorHAnsi" w:hAnsiTheme="majorHAnsi"/>
        </w:rPr>
        <w:t>La consommation des ménages</w:t>
      </w:r>
      <w:r w:rsidR="00BE082B">
        <w:rPr>
          <w:rFonts w:asciiTheme="majorHAnsi" w:hAnsiTheme="majorHAnsi"/>
        </w:rPr>
        <w:t>, prise dans son ensemble, c’est-à-dire au niv</w:t>
      </w:r>
      <w:r w:rsidR="00490C0B">
        <w:rPr>
          <w:rFonts w:asciiTheme="majorHAnsi" w:hAnsiTheme="majorHAnsi"/>
        </w:rPr>
        <w:t>e</w:t>
      </w:r>
      <w:r w:rsidR="00BE082B">
        <w:rPr>
          <w:rFonts w:asciiTheme="majorHAnsi" w:hAnsiTheme="majorHAnsi"/>
        </w:rPr>
        <w:t>au macro-économique</w:t>
      </w:r>
      <w:r w:rsidR="00490C0B">
        <w:rPr>
          <w:rFonts w:asciiTheme="majorHAnsi" w:hAnsiTheme="majorHAnsi"/>
        </w:rPr>
        <w:t>,</w:t>
      </w:r>
      <w:r w:rsidRPr="00EB6A96">
        <w:rPr>
          <w:rFonts w:asciiTheme="majorHAnsi" w:hAnsiTheme="majorHAnsi"/>
        </w:rPr>
        <w:t xml:space="preserve"> est principalement déterminée par leur revenu disponible brut, et augmente, en volume et en valeur, avec lui. </w:t>
      </w:r>
    </w:p>
    <w:p w:rsidR="002A7130" w:rsidRPr="00D854ED" w:rsidRDefault="002A7130" w:rsidP="00D854ED">
      <w:pPr>
        <w:pStyle w:val="BodyTextIndent"/>
        <w:pBdr>
          <w:top w:val="single" w:sz="4" w:space="1" w:color="auto"/>
          <w:left w:val="single" w:sz="4" w:space="4" w:color="auto"/>
          <w:bottom w:val="single" w:sz="4" w:space="1" w:color="auto"/>
          <w:right w:val="single" w:sz="4" w:space="4" w:color="auto"/>
        </w:pBdr>
        <w:ind w:right="1"/>
        <w:jc w:val="center"/>
        <w:rPr>
          <w:rFonts w:asciiTheme="majorHAnsi" w:hAnsiTheme="majorHAnsi"/>
          <w:b/>
        </w:rPr>
      </w:pPr>
      <w:r w:rsidRPr="00D854ED">
        <w:rPr>
          <w:rFonts w:asciiTheme="majorHAnsi" w:hAnsiTheme="majorHAnsi"/>
          <w:b/>
        </w:rPr>
        <w:t>La consommation est donc une fonction croissante du revenu</w:t>
      </w:r>
      <w:r w:rsidR="00490C0B">
        <w:rPr>
          <w:rFonts w:asciiTheme="majorHAnsi" w:hAnsiTheme="majorHAnsi"/>
          <w:b/>
        </w:rPr>
        <w:t xml:space="preserve"> disponible</w:t>
      </w:r>
      <w:r w:rsidRPr="00D854ED">
        <w:rPr>
          <w:rFonts w:asciiTheme="majorHAnsi" w:hAnsiTheme="majorHAnsi"/>
          <w:b/>
        </w:rPr>
        <w:t xml:space="preserve"> des ménages.</w:t>
      </w:r>
    </w:p>
    <w:p w:rsidR="00D854ED" w:rsidRDefault="00D854ED" w:rsidP="002A7130">
      <w:pPr>
        <w:pStyle w:val="BodyTextIndent"/>
        <w:ind w:right="1"/>
        <w:rPr>
          <w:rFonts w:asciiTheme="majorHAnsi" w:hAnsiTheme="majorHAnsi"/>
        </w:rPr>
      </w:pPr>
    </w:p>
    <w:p w:rsidR="00D854ED" w:rsidRDefault="002A7130" w:rsidP="00356247">
      <w:pPr>
        <w:pStyle w:val="BodyTextIndent"/>
        <w:spacing w:after="120"/>
        <w:ind w:right="1"/>
        <w:rPr>
          <w:rFonts w:asciiTheme="majorHAnsi" w:hAnsiTheme="majorHAnsi"/>
        </w:rPr>
      </w:pPr>
      <w:r w:rsidRPr="00EB6A96">
        <w:rPr>
          <w:rFonts w:asciiTheme="majorHAnsi" w:hAnsiTheme="majorHAnsi"/>
        </w:rPr>
        <w:t>KEYNES observe que plus le niveau de revenu d’un ménage est élevé, plus la part de ce revenu consacrée à la consommation diminue (tout en restant naturellement la plus importante) au bénéfice de la part consacrée à l’épargne. En effet, ce ménage a dans ce cas la possibilité d’épargner plus tout en couvrant mieux ses besoins en consommation</w:t>
      </w:r>
      <w:r w:rsidR="00D854ED">
        <w:rPr>
          <w:rFonts w:asciiTheme="majorHAnsi" w:hAnsiTheme="majorHAnsi"/>
        </w:rPr>
        <w:t>. Dit en termes keynésiens :</w:t>
      </w:r>
    </w:p>
    <w:p w:rsidR="002A7130" w:rsidRDefault="00D854ED" w:rsidP="00D854ED">
      <w:pPr>
        <w:pStyle w:val="BodyTextIndent"/>
        <w:pBdr>
          <w:top w:val="single" w:sz="4" w:space="1" w:color="auto"/>
          <w:left w:val="single" w:sz="4" w:space="4" w:color="auto"/>
          <w:bottom w:val="single" w:sz="4" w:space="1" w:color="auto"/>
          <w:right w:val="single" w:sz="4" w:space="4" w:color="auto"/>
        </w:pBdr>
        <w:ind w:right="1"/>
        <w:jc w:val="center"/>
        <w:rPr>
          <w:rFonts w:asciiTheme="majorHAnsi" w:hAnsiTheme="majorHAnsi"/>
          <w:b/>
        </w:rPr>
      </w:pPr>
      <w:r>
        <w:rPr>
          <w:rFonts w:asciiTheme="majorHAnsi" w:hAnsiTheme="majorHAnsi"/>
          <w:b/>
          <w:i/>
        </w:rPr>
        <w:t>L</w:t>
      </w:r>
      <w:r w:rsidR="002A7130" w:rsidRPr="00D854ED">
        <w:rPr>
          <w:rFonts w:asciiTheme="majorHAnsi" w:hAnsiTheme="majorHAnsi"/>
          <w:b/>
          <w:i/>
        </w:rPr>
        <w:t>orsque le niveau de revenu s’élève, la propension moyenne à consommer diminue et la propension moyenne à épargner augmente</w:t>
      </w:r>
      <w:r w:rsidR="002A7130" w:rsidRPr="00D854ED">
        <w:rPr>
          <w:rFonts w:asciiTheme="majorHAnsi" w:hAnsiTheme="majorHAnsi"/>
          <w:b/>
        </w:rPr>
        <w:t>, et inversement.</w:t>
      </w:r>
    </w:p>
    <w:p w:rsidR="00D854ED" w:rsidRPr="00D854ED" w:rsidRDefault="00D854ED" w:rsidP="00D854ED">
      <w:pPr>
        <w:pStyle w:val="BodyTextIndent"/>
        <w:ind w:right="1"/>
        <w:jc w:val="center"/>
        <w:rPr>
          <w:rFonts w:asciiTheme="majorHAnsi" w:hAnsiTheme="majorHAnsi"/>
          <w:b/>
        </w:rPr>
      </w:pPr>
    </w:p>
    <w:p w:rsidR="00D854ED" w:rsidRDefault="00156DFC" w:rsidP="00356247">
      <w:pPr>
        <w:pStyle w:val="BodyTextIndent"/>
        <w:spacing w:after="120"/>
        <w:ind w:right="1"/>
        <w:rPr>
          <w:rFonts w:asciiTheme="majorHAnsi" w:hAnsiTheme="majorHAnsi"/>
          <w:i/>
        </w:rPr>
      </w:pPr>
      <w:r>
        <w:rPr>
          <w:rFonts w:asciiTheme="majorHAnsi" w:hAnsiTheme="majorHAnsi"/>
        </w:rPr>
        <w:t>Ce comportement trouve son origine</w:t>
      </w:r>
      <w:r w:rsidR="002A7130" w:rsidRPr="00EB6A96">
        <w:rPr>
          <w:rFonts w:asciiTheme="majorHAnsi" w:hAnsiTheme="majorHAnsi"/>
        </w:rPr>
        <w:t xml:space="preserve"> dans la manière dont chaque ménage partage</w:t>
      </w:r>
      <w:r w:rsidR="00D854ED">
        <w:rPr>
          <w:rFonts w:asciiTheme="majorHAnsi" w:hAnsiTheme="majorHAnsi"/>
        </w:rPr>
        <w:t xml:space="preserve"> un supplément de revenu </w:t>
      </w:r>
      <w:r w:rsidR="002A7130" w:rsidRPr="00EB6A96">
        <w:rPr>
          <w:rFonts w:asciiTheme="majorHAnsi" w:hAnsiTheme="majorHAnsi"/>
        </w:rPr>
        <w:t>e</w:t>
      </w:r>
      <w:r w:rsidR="00D854ED">
        <w:rPr>
          <w:rFonts w:asciiTheme="majorHAnsi" w:hAnsiTheme="majorHAnsi"/>
        </w:rPr>
        <w:t>ntre consommation et épargne. E</w:t>
      </w:r>
      <w:r w:rsidR="002A7130" w:rsidRPr="00EB6A96">
        <w:rPr>
          <w:rFonts w:asciiTheme="majorHAnsi" w:hAnsiTheme="majorHAnsi"/>
        </w:rPr>
        <w:t>n termes keynésiens toujours</w:t>
      </w:r>
      <w:r w:rsidR="00D854ED">
        <w:rPr>
          <w:rFonts w:asciiTheme="majorHAnsi" w:hAnsiTheme="majorHAnsi"/>
        </w:rPr>
        <w:t> :</w:t>
      </w:r>
      <w:r w:rsidR="00D854ED">
        <w:rPr>
          <w:rFonts w:asciiTheme="majorHAnsi" w:hAnsiTheme="majorHAnsi"/>
          <w:i/>
        </w:rPr>
        <w:t xml:space="preserve"> </w:t>
      </w:r>
    </w:p>
    <w:p w:rsidR="00D854ED" w:rsidRDefault="00D854ED" w:rsidP="00D854ED">
      <w:pPr>
        <w:pStyle w:val="BodyTextIndent"/>
        <w:pBdr>
          <w:top w:val="single" w:sz="4" w:space="1" w:color="auto"/>
          <w:left w:val="single" w:sz="4" w:space="4" w:color="auto"/>
          <w:bottom w:val="single" w:sz="4" w:space="1" w:color="auto"/>
          <w:right w:val="single" w:sz="4" w:space="4" w:color="auto"/>
        </w:pBdr>
        <w:ind w:right="1"/>
        <w:jc w:val="center"/>
        <w:rPr>
          <w:rFonts w:asciiTheme="majorHAnsi" w:hAnsiTheme="majorHAnsi"/>
          <w:i/>
        </w:rPr>
      </w:pPr>
      <w:r w:rsidRPr="00D854ED">
        <w:rPr>
          <w:rFonts w:asciiTheme="majorHAnsi" w:hAnsiTheme="majorHAnsi"/>
          <w:b/>
          <w:i/>
        </w:rPr>
        <w:t>L</w:t>
      </w:r>
      <w:r w:rsidR="002A7130" w:rsidRPr="00D854ED">
        <w:rPr>
          <w:rFonts w:asciiTheme="majorHAnsi" w:hAnsiTheme="majorHAnsi"/>
          <w:b/>
          <w:i/>
        </w:rPr>
        <w:t>a propension marginale à consommer des ménages est d’autant plus élevée (et symétriquement, leur propension marginale à épargner est d’autant plus faible) que le revenu qu’ils perçoivent est faible</w:t>
      </w:r>
      <w:r>
        <w:rPr>
          <w:rFonts w:asciiTheme="majorHAnsi" w:hAnsiTheme="majorHAnsi"/>
          <w:i/>
        </w:rPr>
        <w:t>.</w:t>
      </w:r>
    </w:p>
    <w:p w:rsidR="002A7130" w:rsidRPr="00EB6A96" w:rsidRDefault="00D854ED" w:rsidP="00356247">
      <w:pPr>
        <w:pStyle w:val="BodyTextIndent"/>
        <w:spacing w:before="120"/>
        <w:ind w:right="1"/>
        <w:rPr>
          <w:rFonts w:asciiTheme="majorHAnsi" w:hAnsiTheme="majorHAnsi"/>
        </w:rPr>
      </w:pPr>
      <w:r>
        <w:rPr>
          <w:rFonts w:asciiTheme="majorHAnsi" w:hAnsiTheme="majorHAnsi"/>
          <w:i/>
        </w:rPr>
        <w:t>T</w:t>
      </w:r>
      <w:r w:rsidR="002A7130" w:rsidRPr="00EB6A96">
        <w:rPr>
          <w:rFonts w:asciiTheme="majorHAnsi" w:hAnsiTheme="majorHAnsi"/>
          <w:i/>
        </w:rPr>
        <w:t>out supplément de revenu sera alors majoritairement – voire intégralement – consacré à un accroissement de leur consommation.</w:t>
      </w:r>
      <w:r w:rsidR="002A7130" w:rsidRPr="00EB6A96">
        <w:rPr>
          <w:rFonts w:asciiTheme="majorHAnsi" w:hAnsiTheme="majorHAnsi"/>
        </w:rPr>
        <w:t xml:space="preserve"> Et inversement…</w:t>
      </w:r>
    </w:p>
    <w:p w:rsidR="002A7130" w:rsidRPr="00EB6A96" w:rsidRDefault="002A7130" w:rsidP="002A7130">
      <w:pPr>
        <w:pStyle w:val="BodyTextIndent"/>
        <w:ind w:right="1"/>
        <w:rPr>
          <w:rFonts w:asciiTheme="majorHAnsi" w:hAnsiTheme="majorHAnsi"/>
        </w:rPr>
      </w:pPr>
    </w:p>
    <w:p w:rsidR="002A7130" w:rsidRPr="00EB6A96" w:rsidRDefault="002A7130" w:rsidP="002A7130">
      <w:pPr>
        <w:pStyle w:val="BodyTextIndent"/>
        <w:ind w:right="1"/>
        <w:rPr>
          <w:rFonts w:asciiTheme="majorHAnsi" w:hAnsiTheme="majorHAnsi"/>
        </w:rPr>
      </w:pPr>
      <w:r w:rsidRPr="00EB6A96">
        <w:rPr>
          <w:rFonts w:asciiTheme="majorHAnsi" w:hAnsiTheme="majorHAnsi"/>
        </w:rPr>
        <w:t>Supposons par exemple qu’un ménage modeste (appartenant au premier décile en matière de</w:t>
      </w:r>
      <w:r w:rsidR="00490C0B">
        <w:rPr>
          <w:rFonts w:asciiTheme="majorHAnsi" w:hAnsiTheme="majorHAnsi"/>
        </w:rPr>
        <w:t xml:space="preserve"> répartition de revenus) perçoive</w:t>
      </w:r>
      <w:r w:rsidRPr="00EB6A96">
        <w:rPr>
          <w:rFonts w:asciiTheme="majorHAnsi" w:hAnsiTheme="majorHAnsi"/>
        </w:rPr>
        <w:t xml:space="preserve"> 100 euros supplémentaires : s’il en consacre habituellement 95 à une augmentation de sa consommation, et épargne les 5 restants, on dira que sa propension marginale à consommer est de 0.95 et sa propension à épargner de 0.05. Supposons en revanche un ménage aisé (appartenant par exemple au dernier décile) qui, de ces 100 euros supplémentaires, en dépensera en consommation 55 et placera les 45 restants sur un compte d’épargne : sa propension marginale à consommer sera de 0.55 et sa propension marginale à épargner de 0.45.</w:t>
      </w:r>
    </w:p>
    <w:p w:rsidR="002A7130" w:rsidRDefault="002A7130" w:rsidP="002A7130">
      <w:pPr>
        <w:pStyle w:val="BodyTextIndent"/>
        <w:ind w:right="1"/>
        <w:rPr>
          <w:rFonts w:asciiTheme="majorHAnsi" w:hAnsiTheme="majorHAnsi"/>
        </w:rPr>
      </w:pPr>
      <w:r w:rsidRPr="00EB6A96">
        <w:rPr>
          <w:rFonts w:asciiTheme="majorHAnsi" w:hAnsiTheme="majorHAnsi"/>
        </w:rPr>
        <w:t>Au niveau macro-économique, la propension marginale à consommer de l’économie – celle de l’ensemble des ménages – est la  moyenne arithmétique des propensions marginales à consommer des différentes catégories de la</w:t>
      </w:r>
      <w:r w:rsidR="00AB74EF">
        <w:rPr>
          <w:rFonts w:asciiTheme="majorHAnsi" w:hAnsiTheme="majorHAnsi"/>
        </w:rPr>
        <w:t xml:space="preserve"> population, pondérées par leur revenu</w:t>
      </w:r>
      <w:r w:rsidRPr="00EB6A96">
        <w:rPr>
          <w:rFonts w:asciiTheme="majorHAnsi" w:hAnsiTheme="majorHAnsi"/>
        </w:rPr>
        <w:t xml:space="preserve"> </w:t>
      </w:r>
      <w:r w:rsidR="00AB74EF">
        <w:rPr>
          <w:rFonts w:asciiTheme="majorHAnsi" w:hAnsiTheme="majorHAnsi"/>
        </w:rPr>
        <w:t>global respectif</w:t>
      </w:r>
      <w:r w:rsidRPr="00EB6A96">
        <w:rPr>
          <w:rFonts w:asciiTheme="majorHAnsi" w:hAnsiTheme="majorHAnsi"/>
        </w:rPr>
        <w:t>.</w:t>
      </w:r>
    </w:p>
    <w:p w:rsidR="00490C0B" w:rsidRDefault="00490C0B" w:rsidP="002A7130">
      <w:pPr>
        <w:pStyle w:val="BodyTextIndent"/>
        <w:ind w:right="1"/>
        <w:rPr>
          <w:rFonts w:asciiTheme="majorHAnsi" w:hAnsiTheme="majorHAnsi"/>
        </w:rPr>
      </w:pPr>
    </w:p>
    <w:p w:rsidR="00490C0B" w:rsidRPr="00887427" w:rsidRDefault="00CE22F8" w:rsidP="002324A1">
      <w:pPr>
        <w:pStyle w:val="BodyTextIndent"/>
        <w:shd w:val="clear" w:color="auto" w:fill="FABF8F" w:themeFill="accent6" w:themeFillTint="99"/>
        <w:ind w:right="1"/>
        <w:rPr>
          <w:rFonts w:asciiTheme="majorHAnsi" w:hAnsiTheme="majorHAnsi"/>
          <w:i/>
        </w:rPr>
      </w:pPr>
      <w:r w:rsidRPr="00887427">
        <w:rPr>
          <w:rFonts w:asciiTheme="majorHAnsi" w:hAnsiTheme="majorHAnsi"/>
          <w:b/>
          <w:i/>
        </w:rPr>
        <w:t>Exercice 1</w:t>
      </w:r>
      <w:r w:rsidRPr="00887427">
        <w:rPr>
          <w:rFonts w:asciiTheme="majorHAnsi" w:hAnsiTheme="majorHAnsi"/>
          <w:i/>
        </w:rPr>
        <w:t xml:space="preserve"> : </w:t>
      </w:r>
      <w:r w:rsidR="00490C0B" w:rsidRPr="00887427">
        <w:rPr>
          <w:rFonts w:asciiTheme="majorHAnsi" w:hAnsiTheme="majorHAnsi"/>
          <w:i/>
        </w:rPr>
        <w:t>Supposons que la population d’un pays se compose de deux catégories : des ménages aisés, dont la propension marginale à consommer un supplément de revenus est égale à 0,65 et qui perçoivent 45% du revenu disponible total des ménages, et les ménages plus modestes, qui en perçoivent les 55% restants, et dont la propension marginale à consommer est égale à 0,95.</w:t>
      </w:r>
    </w:p>
    <w:p w:rsidR="00490C0B" w:rsidRPr="00887427" w:rsidRDefault="006111B6" w:rsidP="002324A1">
      <w:pPr>
        <w:pStyle w:val="BodyTextIndent"/>
        <w:shd w:val="clear" w:color="auto" w:fill="FABF8F" w:themeFill="accent6" w:themeFillTint="99"/>
        <w:ind w:right="1"/>
        <w:rPr>
          <w:rFonts w:asciiTheme="majorHAnsi" w:hAnsiTheme="majorHAnsi"/>
          <w:i/>
        </w:rPr>
      </w:pPr>
      <w:r w:rsidRPr="00887427">
        <w:rPr>
          <w:rFonts w:asciiTheme="majorHAnsi" w:hAnsiTheme="majorHAnsi"/>
          <w:i/>
        </w:rPr>
        <w:t>Quelle est la propension marginale à consommer de l’ensemble des ménages ?</w:t>
      </w:r>
      <w:r w:rsidR="00AE0DD1" w:rsidRPr="00887427">
        <w:rPr>
          <w:rFonts w:asciiTheme="majorHAnsi" w:hAnsiTheme="majorHAnsi"/>
          <w:i/>
        </w:rPr>
        <w:t xml:space="preserve"> Interprétez.</w:t>
      </w:r>
    </w:p>
    <w:p w:rsidR="00AE0DD1" w:rsidRDefault="00AE0DD1" w:rsidP="00887427">
      <w:pPr>
        <w:pStyle w:val="BodyTextIndent"/>
        <w:ind w:right="1"/>
        <w:rPr>
          <w:rFonts w:asciiTheme="majorHAnsi" w:hAnsiTheme="majorHAnsi"/>
        </w:rPr>
      </w:pPr>
    </w:p>
    <w:p w:rsidR="006111B6" w:rsidRDefault="006111B6" w:rsidP="00887427">
      <w:pPr>
        <w:pStyle w:val="BodyTextIndent"/>
        <w:shd w:val="clear" w:color="auto" w:fill="FABF8F" w:themeFill="accent6" w:themeFillTint="99"/>
        <w:ind w:right="1"/>
        <w:rPr>
          <w:rFonts w:asciiTheme="majorHAnsi" w:hAnsiTheme="majorHAnsi"/>
        </w:rPr>
      </w:pPr>
      <w:r w:rsidRPr="00AE0DD1">
        <w:rPr>
          <w:rFonts w:asciiTheme="majorHAnsi" w:hAnsiTheme="majorHAnsi"/>
          <w:b/>
        </w:rPr>
        <w:t>Réponse</w:t>
      </w:r>
      <w:r>
        <w:rPr>
          <w:rFonts w:asciiTheme="majorHAnsi" w:hAnsiTheme="majorHAnsi"/>
        </w:rPr>
        <w:t> : 0,65*0,45 + 0,95*0,55 = 0,815</w:t>
      </w:r>
    </w:p>
    <w:p w:rsidR="006111B6" w:rsidRPr="00EB6A96" w:rsidRDefault="006111B6" w:rsidP="00887427">
      <w:pPr>
        <w:pStyle w:val="BodyTextIndent"/>
        <w:shd w:val="clear" w:color="auto" w:fill="FABF8F" w:themeFill="accent6" w:themeFillTint="99"/>
        <w:ind w:right="1"/>
        <w:rPr>
          <w:rFonts w:asciiTheme="majorHAnsi" w:hAnsiTheme="majorHAnsi"/>
        </w:rPr>
      </w:pPr>
      <w:r>
        <w:rPr>
          <w:rFonts w:asciiTheme="majorHAnsi" w:hAnsiTheme="majorHAnsi"/>
        </w:rPr>
        <w:t>Lorsque les ménages, dans leur ensemble, perçoivent un revenu disponible supplémentaire de 100€, ils ont tendance à en consacrer 81,5€ à une augmentation de leur consommation et 18,5€ à une augmentation de leur épargne.</w:t>
      </w:r>
    </w:p>
    <w:p w:rsidR="002A7130" w:rsidRPr="00EB6A96" w:rsidRDefault="002A7130" w:rsidP="002A7130">
      <w:pPr>
        <w:pStyle w:val="BodyTextIndent"/>
        <w:ind w:right="1"/>
        <w:rPr>
          <w:rFonts w:asciiTheme="majorHAnsi" w:hAnsiTheme="majorHAnsi"/>
        </w:rPr>
      </w:pPr>
    </w:p>
    <w:p w:rsidR="002A7130" w:rsidRPr="00EB6A96" w:rsidRDefault="002A7130" w:rsidP="00356247">
      <w:pPr>
        <w:pStyle w:val="BodyTextIndent"/>
        <w:spacing w:after="120"/>
        <w:ind w:right="1"/>
        <w:rPr>
          <w:rFonts w:asciiTheme="majorHAnsi" w:hAnsiTheme="majorHAnsi"/>
        </w:rPr>
      </w:pPr>
      <w:r w:rsidRPr="00EB6A96">
        <w:rPr>
          <w:rFonts w:asciiTheme="majorHAnsi" w:hAnsiTheme="majorHAnsi"/>
        </w:rPr>
        <w:t>Pour KEYNES, deux principes essentiels sont à retenir :</w:t>
      </w:r>
    </w:p>
    <w:p w:rsidR="002A7130" w:rsidRPr="00AB74EF" w:rsidRDefault="00356247" w:rsidP="00356247">
      <w:pPr>
        <w:pStyle w:val="BodyTextIndent"/>
        <w:pBdr>
          <w:top w:val="single" w:sz="4" w:space="1" w:color="auto"/>
          <w:left w:val="single" w:sz="4" w:space="4" w:color="auto"/>
          <w:bottom w:val="single" w:sz="4" w:space="1" w:color="auto"/>
          <w:right w:val="single" w:sz="4" w:space="4" w:color="auto"/>
        </w:pBdr>
        <w:tabs>
          <w:tab w:val="num" w:pos="987"/>
        </w:tabs>
        <w:spacing w:after="120"/>
        <w:ind w:right="1" w:firstLine="0"/>
        <w:jc w:val="center"/>
        <w:rPr>
          <w:rFonts w:asciiTheme="majorHAnsi" w:hAnsiTheme="majorHAnsi"/>
          <w:b/>
          <w:i/>
        </w:rPr>
      </w:pPr>
      <w:r>
        <w:rPr>
          <w:rFonts w:asciiTheme="majorHAnsi" w:hAnsiTheme="majorHAnsi"/>
          <w:i/>
        </w:rPr>
        <w:t>L</w:t>
      </w:r>
      <w:r w:rsidR="002A7130" w:rsidRPr="00EB6A96">
        <w:rPr>
          <w:rFonts w:asciiTheme="majorHAnsi" w:hAnsiTheme="majorHAnsi"/>
          <w:i/>
        </w:rPr>
        <w:t>a part d’un supplément de revenu affectée à une augmentation de la consommation (propension marginale à consommer des ménages dans leur ensemble</w:t>
      </w:r>
      <w:r>
        <w:rPr>
          <w:rFonts w:asciiTheme="majorHAnsi" w:hAnsiTheme="majorHAnsi"/>
          <w:i/>
        </w:rPr>
        <w:t xml:space="preserve"> dépend</w:t>
      </w:r>
      <w:r w:rsidR="002A7130" w:rsidRPr="00EB6A96">
        <w:rPr>
          <w:rFonts w:asciiTheme="majorHAnsi" w:hAnsiTheme="majorHAnsi"/>
          <w:i/>
        </w:rPr>
        <w:t xml:space="preserve"> de la </w:t>
      </w:r>
      <w:r w:rsidR="002A7130" w:rsidRPr="00AB74EF">
        <w:rPr>
          <w:rFonts w:asciiTheme="majorHAnsi" w:hAnsiTheme="majorHAnsi"/>
          <w:b/>
          <w:i/>
        </w:rPr>
        <w:t>façon dont le revenu national est distribué entre les agents économiques :</w:t>
      </w:r>
    </w:p>
    <w:p w:rsidR="002A7130" w:rsidRPr="00EB6A96" w:rsidRDefault="002A7130" w:rsidP="00AB74EF">
      <w:pPr>
        <w:pStyle w:val="BodyTextIndent"/>
        <w:numPr>
          <w:ilvl w:val="0"/>
          <w:numId w:val="3"/>
        </w:numPr>
        <w:tabs>
          <w:tab w:val="clear" w:pos="360"/>
          <w:tab w:val="num" w:pos="720"/>
        </w:tabs>
        <w:spacing w:after="120"/>
        <w:ind w:left="714" w:right="1" w:hanging="357"/>
        <w:rPr>
          <w:rFonts w:asciiTheme="majorHAnsi" w:hAnsiTheme="majorHAnsi"/>
        </w:rPr>
      </w:pPr>
      <w:r w:rsidRPr="00EB6A96">
        <w:rPr>
          <w:rFonts w:asciiTheme="majorHAnsi" w:hAnsiTheme="majorHAnsi"/>
          <w:i/>
        </w:rPr>
        <w:t>si la répartition est relativement égalitaire</w:t>
      </w:r>
      <w:r w:rsidRPr="00EB6A96">
        <w:rPr>
          <w:rFonts w:asciiTheme="majorHAnsi" w:hAnsiTheme="majorHAnsi"/>
        </w:rPr>
        <w:t>, personne ne sera assez riche pour épargner une part importante de son revenu, et la consommation sera élevée. Les propensions marginale et moyenne à consommer seront fortes. La majeure partie d’un supplément de revenu sera consacré à la consommation et non à l’épargne.</w:t>
      </w:r>
    </w:p>
    <w:p w:rsidR="002A7130" w:rsidRDefault="002A7130" w:rsidP="00AB74EF">
      <w:pPr>
        <w:pStyle w:val="BodyTextIndent"/>
        <w:numPr>
          <w:ilvl w:val="0"/>
          <w:numId w:val="3"/>
        </w:numPr>
        <w:tabs>
          <w:tab w:val="clear" w:pos="360"/>
          <w:tab w:val="num" w:pos="927"/>
        </w:tabs>
        <w:ind w:left="927" w:right="1"/>
        <w:rPr>
          <w:rFonts w:asciiTheme="majorHAnsi" w:hAnsiTheme="majorHAnsi"/>
        </w:rPr>
      </w:pPr>
      <w:r w:rsidRPr="00EB6A96">
        <w:rPr>
          <w:rFonts w:asciiTheme="majorHAnsi" w:hAnsiTheme="majorHAnsi"/>
          <w:i/>
        </w:rPr>
        <w:t>si la répartition est au contraire très inégalitaire</w:t>
      </w:r>
      <w:r w:rsidRPr="00EB6A96">
        <w:rPr>
          <w:rFonts w:asciiTheme="majorHAnsi" w:hAnsiTheme="majorHAnsi"/>
        </w:rPr>
        <w:t>, les ménages les plus aisés (qui sont aussi les moins nombreux) épargneront une part plus importante de leur revenu que les autres, mais les revenus de ces derniers ne seront pas suffisamment élevés pour compenser le manque à gagner en termes de consommation. Les propensions marginale et moyenne à consommer du pays seront plus faibles que dans le cas précédent.</w:t>
      </w:r>
    </w:p>
    <w:p w:rsidR="00AE0DD1" w:rsidRDefault="00AE0DD1" w:rsidP="00AE0DD1">
      <w:pPr>
        <w:pStyle w:val="BodyTextIndent"/>
        <w:ind w:right="1"/>
        <w:rPr>
          <w:rFonts w:asciiTheme="majorHAnsi" w:hAnsiTheme="majorHAnsi"/>
        </w:rPr>
      </w:pPr>
    </w:p>
    <w:p w:rsidR="00AE0DD1" w:rsidRPr="00887427" w:rsidRDefault="00AE0DD1" w:rsidP="002324A1">
      <w:pPr>
        <w:pStyle w:val="BodyTextIndent"/>
        <w:shd w:val="clear" w:color="auto" w:fill="FABF8F" w:themeFill="accent6" w:themeFillTint="99"/>
        <w:ind w:right="1"/>
        <w:rPr>
          <w:rFonts w:asciiTheme="majorHAnsi" w:hAnsiTheme="majorHAnsi"/>
          <w:i/>
        </w:rPr>
      </w:pPr>
      <w:r w:rsidRPr="00887427">
        <w:rPr>
          <w:rFonts w:asciiTheme="majorHAnsi" w:hAnsiTheme="majorHAnsi"/>
          <w:b/>
          <w:i/>
        </w:rPr>
        <w:t>Suite de l’exercice précédent</w:t>
      </w:r>
      <w:r w:rsidRPr="00887427">
        <w:rPr>
          <w:rFonts w:asciiTheme="majorHAnsi" w:hAnsiTheme="majorHAnsi"/>
          <w:i/>
        </w:rPr>
        <w:t> : supposons maintenant que le revenu des ménages soit réparti de manière plus égalitaire : les ménages les plus aisés perçoivent 35%</w:t>
      </w:r>
      <w:r w:rsidR="002324A1" w:rsidRPr="00887427">
        <w:rPr>
          <w:rFonts w:asciiTheme="majorHAnsi" w:hAnsiTheme="majorHAnsi"/>
          <w:i/>
        </w:rPr>
        <w:t xml:space="preserve"> du revenu disponible total, le</w:t>
      </w:r>
      <w:r w:rsidRPr="00887427">
        <w:rPr>
          <w:rFonts w:asciiTheme="majorHAnsi" w:hAnsiTheme="majorHAnsi"/>
          <w:i/>
        </w:rPr>
        <w:t xml:space="preserve">s ménages modestes 65% (les propensions marginales à consommer des deux catégories de ménages </w:t>
      </w:r>
      <w:r w:rsidR="00887427">
        <w:rPr>
          <w:rFonts w:asciiTheme="majorHAnsi" w:hAnsiTheme="majorHAnsi"/>
          <w:i/>
        </w:rPr>
        <w:t>n</w:t>
      </w:r>
      <w:r w:rsidRPr="00887427">
        <w:rPr>
          <w:rFonts w:asciiTheme="majorHAnsi" w:hAnsiTheme="majorHAnsi"/>
          <w:i/>
        </w:rPr>
        <w:t>e changent pas</w:t>
      </w:r>
      <w:r w:rsidR="00156DFC">
        <w:rPr>
          <w:rFonts w:asciiTheme="majorHAnsi" w:hAnsiTheme="majorHAnsi"/>
          <w:i/>
        </w:rPr>
        <w:t xml:space="preserve"> et on suppose que la répartition de la population entre « ménages modestes » et « ménages aisés » n’est pas modifiée</w:t>
      </w:r>
      <w:r w:rsidRPr="00887427">
        <w:rPr>
          <w:rFonts w:asciiTheme="majorHAnsi" w:hAnsiTheme="majorHAnsi"/>
          <w:i/>
        </w:rPr>
        <w:t>) :</w:t>
      </w:r>
    </w:p>
    <w:p w:rsidR="00AE0DD1" w:rsidRDefault="00AE0DD1" w:rsidP="00887427">
      <w:pPr>
        <w:pStyle w:val="BodyTextIndent"/>
        <w:shd w:val="clear" w:color="auto" w:fill="FABF8F" w:themeFill="accent6" w:themeFillTint="99"/>
        <w:ind w:right="1"/>
        <w:rPr>
          <w:rFonts w:asciiTheme="majorHAnsi" w:hAnsiTheme="majorHAnsi"/>
        </w:rPr>
      </w:pPr>
      <w:r>
        <w:rPr>
          <w:rFonts w:asciiTheme="majorHAnsi" w:hAnsiTheme="majorHAnsi"/>
        </w:rPr>
        <w:t>Dans ce cas, la propension marginale à consommer de l’ensemble des ménages est égale à :</w:t>
      </w:r>
    </w:p>
    <w:p w:rsidR="00AE0DD1" w:rsidRDefault="00AE0DD1" w:rsidP="00887427">
      <w:pPr>
        <w:pStyle w:val="BodyTextIndent"/>
        <w:shd w:val="clear" w:color="auto" w:fill="FABF8F" w:themeFill="accent6" w:themeFillTint="99"/>
        <w:ind w:right="1"/>
        <w:rPr>
          <w:rFonts w:asciiTheme="majorHAnsi" w:hAnsiTheme="majorHAnsi"/>
        </w:rPr>
      </w:pPr>
      <w:r>
        <w:rPr>
          <w:rFonts w:asciiTheme="majorHAnsi" w:hAnsiTheme="majorHAnsi"/>
        </w:rPr>
        <w:t>0,65*0,35 + 0,95*0,65 = 0,845</w:t>
      </w:r>
    </w:p>
    <w:p w:rsidR="004624F2" w:rsidRPr="00EB6A96" w:rsidRDefault="004624F2" w:rsidP="00887427">
      <w:pPr>
        <w:pStyle w:val="BodyTextIndent"/>
        <w:shd w:val="clear" w:color="auto" w:fill="FABF8F" w:themeFill="accent6" w:themeFillTint="99"/>
        <w:ind w:right="1"/>
        <w:rPr>
          <w:rFonts w:asciiTheme="majorHAnsi" w:hAnsiTheme="majorHAnsi"/>
        </w:rPr>
      </w:pPr>
      <w:r>
        <w:rPr>
          <w:rFonts w:asciiTheme="majorHAnsi" w:hAnsiTheme="majorHAnsi"/>
        </w:rPr>
        <w:t>Une répartition du revenu plus égalitaire entre les ménages contribue donc à accroître la propension marginale à consommer de l’ensemble de l’économie.</w:t>
      </w:r>
    </w:p>
    <w:p w:rsidR="002A7130" w:rsidRPr="00AB74EF" w:rsidRDefault="002A7130" w:rsidP="002A7130">
      <w:pPr>
        <w:pStyle w:val="BodyTextIndent"/>
        <w:ind w:right="1"/>
        <w:rPr>
          <w:rFonts w:asciiTheme="majorHAnsi" w:hAnsiTheme="majorHAnsi"/>
          <w:b/>
          <w:i/>
        </w:rPr>
      </w:pPr>
    </w:p>
    <w:p w:rsidR="00356247" w:rsidRPr="00356247" w:rsidRDefault="002A7130" w:rsidP="00356247">
      <w:pPr>
        <w:pStyle w:val="BodyTextIndent"/>
        <w:pBdr>
          <w:top w:val="single" w:sz="4" w:space="1" w:color="auto"/>
          <w:left w:val="single" w:sz="4" w:space="4" w:color="auto"/>
          <w:bottom w:val="single" w:sz="4" w:space="1" w:color="auto"/>
          <w:right w:val="single" w:sz="4" w:space="4" w:color="auto"/>
        </w:pBdr>
        <w:tabs>
          <w:tab w:val="num" w:pos="987"/>
        </w:tabs>
        <w:spacing w:after="120"/>
        <w:ind w:right="1" w:firstLine="0"/>
        <w:jc w:val="center"/>
        <w:rPr>
          <w:rFonts w:asciiTheme="majorHAnsi" w:hAnsiTheme="majorHAnsi"/>
          <w:i/>
        </w:rPr>
      </w:pPr>
      <w:r w:rsidRPr="00AB74EF">
        <w:rPr>
          <w:rFonts w:asciiTheme="majorHAnsi" w:hAnsiTheme="majorHAnsi"/>
          <w:i/>
        </w:rPr>
        <w:t xml:space="preserve">La part du revenu affectée à la consommation </w:t>
      </w:r>
      <w:r w:rsidR="00B576C6">
        <w:rPr>
          <w:rFonts w:asciiTheme="majorHAnsi" w:hAnsiTheme="majorHAnsi"/>
          <w:i/>
        </w:rPr>
        <w:t>et l’affectation d’un supplément de revenu dépen</w:t>
      </w:r>
      <w:r w:rsidRPr="00AB74EF">
        <w:rPr>
          <w:rFonts w:asciiTheme="majorHAnsi" w:hAnsiTheme="majorHAnsi"/>
          <w:i/>
        </w:rPr>
        <w:t>d</w:t>
      </w:r>
      <w:r w:rsidR="00B576C6">
        <w:rPr>
          <w:rFonts w:asciiTheme="majorHAnsi" w:hAnsiTheme="majorHAnsi"/>
          <w:i/>
        </w:rPr>
        <w:t>ent</w:t>
      </w:r>
      <w:r w:rsidRPr="00AB74EF">
        <w:rPr>
          <w:rFonts w:asciiTheme="majorHAnsi" w:hAnsiTheme="majorHAnsi"/>
          <w:i/>
        </w:rPr>
        <w:t xml:space="preserve"> aussi de la </w:t>
      </w:r>
      <w:r w:rsidRPr="00AB74EF">
        <w:rPr>
          <w:rFonts w:asciiTheme="majorHAnsi" w:hAnsiTheme="majorHAnsi"/>
          <w:b/>
          <w:i/>
        </w:rPr>
        <w:t>répartition du revenu national entre revenus du travail (essentiellement les salaires) et revenus du capital</w:t>
      </w:r>
      <w:r w:rsidR="00356247">
        <w:rPr>
          <w:rFonts w:asciiTheme="majorHAnsi" w:hAnsiTheme="majorHAnsi"/>
          <w:b/>
          <w:i/>
        </w:rPr>
        <w:t>.</w:t>
      </w:r>
    </w:p>
    <w:p w:rsidR="002A7130" w:rsidRPr="004624F2" w:rsidRDefault="00356247" w:rsidP="00AB74EF">
      <w:pPr>
        <w:pStyle w:val="BodyTextIndent"/>
        <w:numPr>
          <w:ilvl w:val="0"/>
          <w:numId w:val="2"/>
        </w:numPr>
        <w:tabs>
          <w:tab w:val="num" w:pos="987"/>
        </w:tabs>
        <w:spacing w:after="120"/>
        <w:ind w:left="357" w:right="1" w:hanging="357"/>
        <w:rPr>
          <w:rFonts w:asciiTheme="majorHAnsi" w:hAnsiTheme="majorHAnsi"/>
        </w:rPr>
      </w:pPr>
      <w:r w:rsidRPr="004624F2">
        <w:rPr>
          <w:rFonts w:asciiTheme="majorHAnsi" w:hAnsiTheme="majorHAnsi"/>
        </w:rPr>
        <w:t>En effet,</w:t>
      </w:r>
      <w:r w:rsidR="002A7130" w:rsidRPr="004624F2">
        <w:rPr>
          <w:rFonts w:asciiTheme="majorHAnsi" w:hAnsiTheme="majorHAnsi"/>
        </w:rPr>
        <w:t xml:space="preserve"> la part épargnée de ces derniers étant plus importante que la part épargnée des salaires. Plus grande est la part des salaires dans la répartition de la valeur ajoutée, plus forte sont les propensions moyenne et marginale à consommer.</w:t>
      </w:r>
    </w:p>
    <w:p w:rsidR="002A7130" w:rsidRPr="004624F2" w:rsidRDefault="002A7130" w:rsidP="00356247">
      <w:pPr>
        <w:pStyle w:val="BodyTextIndent"/>
        <w:numPr>
          <w:ilvl w:val="0"/>
          <w:numId w:val="2"/>
        </w:numPr>
        <w:tabs>
          <w:tab w:val="num" w:pos="987"/>
        </w:tabs>
        <w:spacing w:after="120"/>
        <w:ind w:left="357" w:right="1" w:hanging="357"/>
        <w:rPr>
          <w:rFonts w:asciiTheme="majorHAnsi" w:hAnsiTheme="majorHAnsi"/>
        </w:rPr>
      </w:pPr>
      <w:r w:rsidRPr="004624F2">
        <w:rPr>
          <w:rFonts w:asciiTheme="majorHAnsi" w:hAnsiTheme="majorHAnsi"/>
        </w:rPr>
        <w:t>Ces constatations sont le fondement des politiques keynésiennes de relance de la demande par la consommation des ménages.</w:t>
      </w:r>
      <w:r w:rsidR="00356247" w:rsidRPr="004624F2">
        <w:rPr>
          <w:rStyle w:val="FootnoteReference"/>
          <w:rFonts w:asciiTheme="majorHAnsi" w:hAnsiTheme="majorHAnsi"/>
        </w:rPr>
        <w:footnoteReference w:id="2"/>
      </w:r>
    </w:p>
    <w:p w:rsidR="00356247" w:rsidRDefault="002A7130" w:rsidP="00356247">
      <w:pPr>
        <w:pStyle w:val="BodyTextIndent"/>
        <w:pBdr>
          <w:top w:val="single" w:sz="4" w:space="1" w:color="auto"/>
          <w:left w:val="single" w:sz="4" w:space="4" w:color="auto"/>
          <w:bottom w:val="single" w:sz="4" w:space="1" w:color="auto"/>
          <w:right w:val="single" w:sz="4" w:space="4" w:color="auto"/>
        </w:pBdr>
        <w:tabs>
          <w:tab w:val="num" w:pos="987"/>
        </w:tabs>
        <w:spacing w:after="120"/>
        <w:ind w:right="1" w:firstLine="0"/>
        <w:jc w:val="center"/>
        <w:rPr>
          <w:rFonts w:asciiTheme="majorHAnsi" w:hAnsiTheme="majorHAnsi"/>
        </w:rPr>
      </w:pPr>
      <w:r w:rsidRPr="00AB74EF">
        <w:rPr>
          <w:rFonts w:asciiTheme="majorHAnsi" w:hAnsiTheme="majorHAnsi"/>
          <w:b/>
          <w:i/>
        </w:rPr>
        <w:t xml:space="preserve">Sur le long terme cependant, la propension marginale à consommer des ménages, dans un pays donné, </w:t>
      </w:r>
      <w:r w:rsidR="00AB74EF" w:rsidRPr="00AB74EF">
        <w:rPr>
          <w:rFonts w:asciiTheme="majorHAnsi" w:hAnsiTheme="majorHAnsi"/>
          <w:b/>
          <w:i/>
        </w:rPr>
        <w:t>est</w:t>
      </w:r>
      <w:r w:rsidRPr="00AB74EF">
        <w:rPr>
          <w:rFonts w:asciiTheme="majorHAnsi" w:hAnsiTheme="majorHAnsi"/>
          <w:b/>
          <w:i/>
        </w:rPr>
        <w:t xml:space="preserve"> relativement stable</w:t>
      </w:r>
      <w:r w:rsidRPr="00AB74EF">
        <w:rPr>
          <w:rFonts w:asciiTheme="majorHAnsi" w:hAnsiTheme="majorHAnsi"/>
        </w:rPr>
        <w:t> :</w:t>
      </w:r>
    </w:p>
    <w:p w:rsidR="002A7130" w:rsidRPr="00AB74EF" w:rsidRDefault="00356247" w:rsidP="00AB74EF">
      <w:pPr>
        <w:pStyle w:val="BodyTextIndent"/>
        <w:numPr>
          <w:ilvl w:val="0"/>
          <w:numId w:val="2"/>
        </w:numPr>
        <w:tabs>
          <w:tab w:val="num" w:pos="987"/>
        </w:tabs>
        <w:spacing w:after="120"/>
        <w:ind w:left="357" w:right="1" w:hanging="357"/>
        <w:rPr>
          <w:rFonts w:asciiTheme="majorHAnsi" w:hAnsiTheme="majorHAnsi"/>
        </w:rPr>
      </w:pPr>
      <w:r>
        <w:rPr>
          <w:rFonts w:asciiTheme="majorHAnsi" w:hAnsiTheme="majorHAnsi"/>
        </w:rPr>
        <w:t>U</w:t>
      </w:r>
      <w:r w:rsidR="002A7130" w:rsidRPr="00AB74EF">
        <w:rPr>
          <w:rFonts w:asciiTheme="majorHAnsi" w:hAnsiTheme="majorHAnsi"/>
        </w:rPr>
        <w:t>n ajustement des couples Revenu Disponible Brut / Consommation Finale des ménages sur des périodes de 20 ans par exemple, montre que la fonction qui reflète le plus fidèlement l’évolution de la consommation en fonction du revenu est une fonction affine (une droite) dans la plupart  des cas. C’est pourquoi dans les modèles (simples) d’inspiration keynésienne développés ultérieurement, on a pris l’habitude d’exprimer la fonction de consommation des ménages sous la forme :</w:t>
      </w:r>
    </w:p>
    <w:p w:rsidR="002A7130" w:rsidRPr="00AB74EF" w:rsidRDefault="002A7130" w:rsidP="002A7130">
      <w:pPr>
        <w:pStyle w:val="BodyTextIndent"/>
        <w:tabs>
          <w:tab w:val="num" w:pos="987"/>
        </w:tabs>
        <w:spacing w:after="120"/>
        <w:ind w:left="567" w:right="1" w:firstLine="0"/>
        <w:jc w:val="center"/>
        <w:rPr>
          <w:rFonts w:asciiTheme="majorHAnsi" w:hAnsiTheme="majorHAnsi"/>
          <w:b/>
        </w:rPr>
      </w:pPr>
      <w:r w:rsidRPr="00AB74EF">
        <w:rPr>
          <w:rFonts w:asciiTheme="majorHAnsi" w:hAnsiTheme="majorHAnsi"/>
          <w:b/>
        </w:rPr>
        <w:t>C = p</w:t>
      </w:r>
      <w:r w:rsidRPr="00AB74EF">
        <w:rPr>
          <w:rFonts w:asciiTheme="majorHAnsi" w:hAnsiTheme="majorHAnsi"/>
          <w:b/>
          <w:vertAlign w:val="subscript"/>
        </w:rPr>
        <w:t>mc</w:t>
      </w:r>
      <w:r w:rsidRPr="00AB74EF">
        <w:rPr>
          <w:rFonts w:asciiTheme="majorHAnsi" w:hAnsiTheme="majorHAnsi"/>
          <w:b/>
        </w:rPr>
        <w:t xml:space="preserve"> * Y</w:t>
      </w:r>
      <w:r w:rsidRPr="00AB74EF">
        <w:rPr>
          <w:rFonts w:asciiTheme="majorHAnsi" w:hAnsiTheme="majorHAnsi"/>
          <w:b/>
          <w:vertAlign w:val="subscript"/>
        </w:rPr>
        <w:t>d</w:t>
      </w:r>
      <w:r w:rsidRPr="00AB74EF">
        <w:rPr>
          <w:rFonts w:asciiTheme="majorHAnsi" w:hAnsiTheme="majorHAnsi"/>
          <w:b/>
        </w:rPr>
        <w:t xml:space="preserve"> + C</w:t>
      </w:r>
      <w:r w:rsidRPr="00AB74EF">
        <w:rPr>
          <w:rFonts w:asciiTheme="majorHAnsi" w:hAnsiTheme="majorHAnsi"/>
          <w:b/>
          <w:vertAlign w:val="subscript"/>
        </w:rPr>
        <w:t>0</w:t>
      </w:r>
    </w:p>
    <w:p w:rsidR="00CE22F8" w:rsidRPr="00AB74EF" w:rsidRDefault="002A7130" w:rsidP="00CE22F8">
      <w:pPr>
        <w:pStyle w:val="BodyTextIndent"/>
        <w:spacing w:after="120"/>
        <w:ind w:left="357" w:right="1" w:firstLine="0"/>
        <w:rPr>
          <w:rFonts w:asciiTheme="majorHAnsi" w:hAnsiTheme="majorHAnsi"/>
        </w:rPr>
      </w:pPr>
      <w:r w:rsidRPr="00AB74EF">
        <w:rPr>
          <w:rFonts w:asciiTheme="majorHAnsi" w:hAnsiTheme="majorHAnsi"/>
        </w:rPr>
        <w:t xml:space="preserve">(où </w:t>
      </w:r>
      <w:r w:rsidRPr="00AB74EF">
        <w:rPr>
          <w:rFonts w:asciiTheme="majorHAnsi" w:hAnsiTheme="majorHAnsi"/>
          <w:b/>
        </w:rPr>
        <w:t>C</w:t>
      </w:r>
      <w:r w:rsidRPr="00AB74EF">
        <w:rPr>
          <w:rFonts w:asciiTheme="majorHAnsi" w:hAnsiTheme="majorHAnsi"/>
        </w:rPr>
        <w:t xml:space="preserve"> représente la consommation finale des ménages, </w:t>
      </w:r>
      <w:r w:rsidRPr="00AB74EF">
        <w:rPr>
          <w:rFonts w:asciiTheme="majorHAnsi" w:hAnsiTheme="majorHAnsi"/>
          <w:b/>
        </w:rPr>
        <w:t>p</w:t>
      </w:r>
      <w:r w:rsidRPr="00AB74EF">
        <w:rPr>
          <w:rFonts w:asciiTheme="majorHAnsi" w:hAnsiTheme="majorHAnsi"/>
          <w:b/>
          <w:vertAlign w:val="subscript"/>
        </w:rPr>
        <w:t>mc</w:t>
      </w:r>
      <w:r w:rsidRPr="00AB74EF">
        <w:rPr>
          <w:rFonts w:asciiTheme="majorHAnsi" w:hAnsiTheme="majorHAnsi"/>
          <w:b/>
        </w:rPr>
        <w:t xml:space="preserve"> </w:t>
      </w:r>
      <w:r w:rsidRPr="00AB74EF">
        <w:rPr>
          <w:rFonts w:asciiTheme="majorHAnsi" w:hAnsiTheme="majorHAnsi"/>
        </w:rPr>
        <w:t xml:space="preserve">leur propension marginale à consommer, </w:t>
      </w:r>
      <w:r w:rsidRPr="00AB74EF">
        <w:rPr>
          <w:rFonts w:asciiTheme="majorHAnsi" w:hAnsiTheme="majorHAnsi"/>
          <w:b/>
        </w:rPr>
        <w:t>Y</w:t>
      </w:r>
      <w:r w:rsidRPr="00AB74EF">
        <w:rPr>
          <w:rFonts w:asciiTheme="majorHAnsi" w:hAnsiTheme="majorHAnsi"/>
          <w:b/>
          <w:vertAlign w:val="subscript"/>
        </w:rPr>
        <w:t>d</w:t>
      </w:r>
      <w:r w:rsidRPr="00AB74EF">
        <w:rPr>
          <w:rFonts w:asciiTheme="majorHAnsi" w:hAnsiTheme="majorHAnsi"/>
          <w:b/>
        </w:rPr>
        <w:t xml:space="preserve"> </w:t>
      </w:r>
      <w:r w:rsidRPr="00AB74EF">
        <w:rPr>
          <w:rFonts w:asciiTheme="majorHAnsi" w:hAnsiTheme="majorHAnsi"/>
        </w:rPr>
        <w:t>leur revenu disponible et</w:t>
      </w:r>
      <w:r w:rsidRPr="00AB74EF">
        <w:rPr>
          <w:rFonts w:asciiTheme="majorHAnsi" w:hAnsiTheme="majorHAnsi"/>
          <w:b/>
        </w:rPr>
        <w:t xml:space="preserve"> C</w:t>
      </w:r>
      <w:r w:rsidRPr="00AB74EF">
        <w:rPr>
          <w:rFonts w:asciiTheme="majorHAnsi" w:hAnsiTheme="majorHAnsi"/>
          <w:b/>
          <w:vertAlign w:val="subscript"/>
        </w:rPr>
        <w:t>0</w:t>
      </w:r>
      <w:r w:rsidRPr="00AB74EF">
        <w:rPr>
          <w:rFonts w:asciiTheme="majorHAnsi" w:hAnsiTheme="majorHAnsi"/>
        </w:rPr>
        <w:t xml:space="preserve"> la consommation indépendante du niveau du revenu, aussi appelée « consommation exogène » ou « consommation incompressible »).</w:t>
      </w:r>
    </w:p>
    <w:p w:rsidR="002A7130" w:rsidRPr="00AB74EF" w:rsidRDefault="002A7130" w:rsidP="002A7130">
      <w:pPr>
        <w:pStyle w:val="BodyTextIndent"/>
        <w:spacing w:after="120"/>
        <w:ind w:left="924" w:right="1" w:firstLine="0"/>
        <w:rPr>
          <w:rFonts w:asciiTheme="majorHAnsi" w:hAnsiTheme="majorHAnsi"/>
        </w:rPr>
      </w:pPr>
      <w:r w:rsidRPr="00AB74EF">
        <w:rPr>
          <w:rFonts w:asciiTheme="majorHAnsi" w:hAnsiTheme="majorHAnsi"/>
          <w:i/>
        </w:rPr>
        <w:t>Cette fonction est assortie d’hypothèses complémentaires</w:t>
      </w:r>
      <w:r w:rsidRPr="00AB74EF">
        <w:rPr>
          <w:rFonts w:asciiTheme="majorHAnsi" w:hAnsiTheme="majorHAnsi"/>
        </w:rPr>
        <w:t xml:space="preserve"> : </w:t>
      </w:r>
    </w:p>
    <w:p w:rsidR="002A7130" w:rsidRPr="00AB74EF" w:rsidRDefault="002A7130" w:rsidP="00AB74EF">
      <w:pPr>
        <w:pStyle w:val="BodyTextIndent"/>
        <w:numPr>
          <w:ilvl w:val="0"/>
          <w:numId w:val="4"/>
        </w:numPr>
        <w:tabs>
          <w:tab w:val="clear" w:pos="360"/>
          <w:tab w:val="num" w:pos="363"/>
        </w:tabs>
        <w:spacing w:after="120"/>
        <w:ind w:left="357" w:right="1" w:hanging="357"/>
        <w:rPr>
          <w:rFonts w:asciiTheme="majorHAnsi" w:hAnsiTheme="majorHAnsi"/>
          <w:b/>
        </w:rPr>
      </w:pPr>
      <w:r w:rsidRPr="00AB74EF">
        <w:rPr>
          <w:rFonts w:asciiTheme="majorHAnsi" w:hAnsiTheme="majorHAnsi"/>
          <w:b/>
        </w:rPr>
        <w:t>0 &lt; p</w:t>
      </w:r>
      <w:r w:rsidRPr="00AB74EF">
        <w:rPr>
          <w:rFonts w:asciiTheme="majorHAnsi" w:hAnsiTheme="majorHAnsi"/>
          <w:b/>
          <w:vertAlign w:val="subscript"/>
        </w:rPr>
        <w:t>mc</w:t>
      </w:r>
      <w:r w:rsidRPr="00AB74EF">
        <w:rPr>
          <w:rFonts w:asciiTheme="majorHAnsi" w:hAnsiTheme="majorHAnsi"/>
          <w:b/>
        </w:rPr>
        <w:t xml:space="preserve"> &lt; 1 </w:t>
      </w:r>
      <w:r w:rsidRPr="00AB74EF">
        <w:rPr>
          <w:rFonts w:asciiTheme="majorHAnsi" w:hAnsiTheme="majorHAnsi"/>
        </w:rPr>
        <w:t xml:space="preserve">: la propension marginale à consommer est toujours comprise entre 0 et 1 (dans un pays comme la France, elle oscille selon les périodes considérées entre 0.75 et 0.85). Sachant que les ménages partagent leur revenu disponible entre consommation et épargne, la propension marginale </w:t>
      </w:r>
      <w:r w:rsidR="00624DD8">
        <w:rPr>
          <w:rFonts w:asciiTheme="majorHAnsi" w:hAnsiTheme="majorHAnsi"/>
        </w:rPr>
        <w:t xml:space="preserve"> </w:t>
      </w:r>
      <w:r w:rsidRPr="00AB74EF">
        <w:rPr>
          <w:rFonts w:asciiTheme="majorHAnsi" w:hAnsiTheme="majorHAnsi"/>
        </w:rPr>
        <w:t xml:space="preserve">à épargner ce revenu est en conséquence égale à </w:t>
      </w:r>
      <w:r w:rsidRPr="00AB74EF">
        <w:rPr>
          <w:rFonts w:asciiTheme="majorHAnsi" w:hAnsiTheme="majorHAnsi"/>
          <w:b/>
        </w:rPr>
        <w:t>(1 - p</w:t>
      </w:r>
      <w:r w:rsidRPr="00AB74EF">
        <w:rPr>
          <w:rFonts w:asciiTheme="majorHAnsi" w:hAnsiTheme="majorHAnsi"/>
          <w:b/>
          <w:vertAlign w:val="subscript"/>
        </w:rPr>
        <w:t>mc</w:t>
      </w:r>
      <w:r w:rsidRPr="00AB74EF">
        <w:rPr>
          <w:rFonts w:asciiTheme="majorHAnsi" w:hAnsiTheme="majorHAnsi"/>
          <w:b/>
        </w:rPr>
        <w:t xml:space="preserve">). </w:t>
      </w:r>
      <w:r w:rsidRPr="00AB74EF">
        <w:rPr>
          <w:rFonts w:asciiTheme="majorHAnsi" w:hAnsiTheme="majorHAnsi"/>
        </w:rPr>
        <w:t>Une propension marginale à consommer égale à 0.8, par exemple, signifie que  les ménages dans leur ensemble ont pour habitude de consacrer environ 80% d’une augmentation de revenu à un accroissement de leur consommation, et</w:t>
      </w:r>
      <w:r w:rsidR="00AB74EF">
        <w:rPr>
          <w:rFonts w:asciiTheme="majorHAnsi" w:hAnsiTheme="majorHAnsi"/>
        </w:rPr>
        <w:t xml:space="preserve"> le reste – donc 20% du revenu – </w:t>
      </w:r>
      <w:r w:rsidRPr="00AB74EF">
        <w:rPr>
          <w:rFonts w:asciiTheme="majorHAnsi" w:hAnsiTheme="majorHAnsi"/>
        </w:rPr>
        <w:t>à une augmentation de leur épargne.</w:t>
      </w:r>
    </w:p>
    <w:p w:rsidR="002A7130" w:rsidRPr="00AB74EF" w:rsidRDefault="002A7130" w:rsidP="00356247">
      <w:pPr>
        <w:pStyle w:val="BodyTextIndent"/>
        <w:numPr>
          <w:ilvl w:val="0"/>
          <w:numId w:val="4"/>
        </w:numPr>
        <w:tabs>
          <w:tab w:val="clear" w:pos="360"/>
          <w:tab w:val="num" w:pos="363"/>
        </w:tabs>
        <w:spacing w:after="120"/>
        <w:ind w:left="357" w:right="1" w:hanging="357"/>
        <w:rPr>
          <w:rFonts w:asciiTheme="majorHAnsi" w:hAnsiTheme="majorHAnsi"/>
        </w:rPr>
      </w:pPr>
      <w:r w:rsidRPr="00AB74EF">
        <w:rPr>
          <w:rFonts w:asciiTheme="majorHAnsi" w:hAnsiTheme="majorHAnsi"/>
          <w:b/>
        </w:rPr>
        <w:t>p</w:t>
      </w:r>
      <w:r w:rsidRPr="00AB74EF">
        <w:rPr>
          <w:rFonts w:asciiTheme="majorHAnsi" w:hAnsiTheme="majorHAnsi"/>
          <w:b/>
          <w:vertAlign w:val="subscript"/>
        </w:rPr>
        <w:t>mc</w:t>
      </w:r>
      <w:r w:rsidRPr="00AB74EF">
        <w:rPr>
          <w:rFonts w:asciiTheme="majorHAnsi" w:hAnsiTheme="majorHAnsi"/>
          <w:b/>
        </w:rPr>
        <w:t xml:space="preserve"> = C ’(Y</w:t>
      </w:r>
      <w:r w:rsidRPr="00AB74EF">
        <w:rPr>
          <w:rFonts w:asciiTheme="majorHAnsi" w:hAnsiTheme="majorHAnsi"/>
          <w:b/>
          <w:vertAlign w:val="subscript"/>
        </w:rPr>
        <w:t>d</w:t>
      </w:r>
      <w:r w:rsidRPr="00AB74EF">
        <w:rPr>
          <w:rFonts w:asciiTheme="majorHAnsi" w:hAnsiTheme="majorHAnsi"/>
          <w:b/>
        </w:rPr>
        <w:t xml:space="preserve">) : </w:t>
      </w:r>
      <w:r w:rsidRPr="00AB74EF">
        <w:rPr>
          <w:rFonts w:asciiTheme="majorHAnsi" w:hAnsiTheme="majorHAnsi"/>
        </w:rPr>
        <w:t>la propension marginale à consommer est mathématiquement égale à la dérivée première de la fonction de consommation par rapport au revenu</w:t>
      </w:r>
      <w:r w:rsidR="003E1CB1">
        <w:rPr>
          <w:rFonts w:asciiTheme="majorHAnsi" w:hAnsiTheme="majorHAnsi"/>
        </w:rPr>
        <w:t xml:space="preserve"> (donc à la pente de la fonction linéaire de consommation précédente)</w:t>
      </w:r>
      <w:r w:rsidRPr="00AB74EF">
        <w:rPr>
          <w:rFonts w:asciiTheme="majorHAnsi" w:hAnsiTheme="majorHAnsi"/>
        </w:rPr>
        <w:t>, et représente l’augmentation de consommation due à une élévation du revenu disponible d’une unité monétaire.</w:t>
      </w:r>
    </w:p>
    <w:p w:rsidR="002A7130" w:rsidRPr="00AB74EF" w:rsidRDefault="002A7130" w:rsidP="00356247">
      <w:pPr>
        <w:pStyle w:val="BodyTextIndent"/>
        <w:numPr>
          <w:ilvl w:val="0"/>
          <w:numId w:val="4"/>
        </w:numPr>
        <w:ind w:right="1"/>
        <w:rPr>
          <w:rFonts w:asciiTheme="majorHAnsi" w:hAnsiTheme="majorHAnsi"/>
        </w:rPr>
      </w:pPr>
      <w:r w:rsidRPr="00AB74EF">
        <w:rPr>
          <w:rFonts w:asciiTheme="majorHAnsi" w:hAnsiTheme="majorHAnsi"/>
          <w:b/>
        </w:rPr>
        <w:t>C ’’(Y</w:t>
      </w:r>
      <w:r w:rsidRPr="00AB74EF">
        <w:rPr>
          <w:rFonts w:asciiTheme="majorHAnsi" w:hAnsiTheme="majorHAnsi"/>
          <w:b/>
          <w:vertAlign w:val="subscript"/>
        </w:rPr>
        <w:t>d</w:t>
      </w:r>
      <w:r w:rsidRPr="00AB74EF">
        <w:rPr>
          <w:rFonts w:asciiTheme="majorHAnsi" w:hAnsiTheme="majorHAnsi"/>
          <w:b/>
        </w:rPr>
        <w:t>) = 0 </w:t>
      </w:r>
      <w:r w:rsidRPr="00AB74EF">
        <w:rPr>
          <w:rFonts w:asciiTheme="majorHAnsi" w:hAnsiTheme="majorHAnsi"/>
        </w:rPr>
        <w:t xml:space="preserve">: la dérivée seconde de la fonction de consommation est nulle, ce qui implique la stabilité (ou la constance) de la propension marginale à consommer des ménages dans le temps. </w:t>
      </w:r>
    </w:p>
    <w:p w:rsidR="002A7130" w:rsidRDefault="002A7130" w:rsidP="002A7130">
      <w:pPr>
        <w:pStyle w:val="BodyTextIndent"/>
        <w:ind w:right="1" w:firstLine="0"/>
        <w:rPr>
          <w:rFonts w:asciiTheme="majorHAnsi" w:hAnsiTheme="majorHAnsi"/>
        </w:rPr>
      </w:pPr>
    </w:p>
    <w:p w:rsidR="00CE22F8" w:rsidRDefault="00CE22F8" w:rsidP="002A7130">
      <w:pPr>
        <w:pStyle w:val="BodyTextIndent"/>
        <w:ind w:right="1" w:firstLine="0"/>
        <w:rPr>
          <w:rFonts w:asciiTheme="majorHAnsi" w:hAnsiTheme="majorHAnsi"/>
        </w:rPr>
      </w:pPr>
    </w:p>
    <w:p w:rsidR="00CE22F8" w:rsidRPr="00887427" w:rsidRDefault="00CE22F8" w:rsidP="00C5226C">
      <w:pPr>
        <w:pStyle w:val="BodyTextIndent"/>
        <w:shd w:val="clear" w:color="auto" w:fill="FABF8F" w:themeFill="accent6" w:themeFillTint="99"/>
        <w:ind w:right="1"/>
        <w:rPr>
          <w:rFonts w:asciiTheme="majorHAnsi" w:hAnsiTheme="majorHAnsi"/>
          <w:i/>
        </w:rPr>
      </w:pPr>
      <w:r w:rsidRPr="00887427">
        <w:rPr>
          <w:rFonts w:asciiTheme="majorHAnsi" w:hAnsiTheme="majorHAnsi"/>
          <w:b/>
          <w:i/>
        </w:rPr>
        <w:t>Exercice 2</w:t>
      </w:r>
      <w:r w:rsidRPr="00887427">
        <w:rPr>
          <w:rFonts w:asciiTheme="majorHAnsi" w:hAnsiTheme="majorHAnsi"/>
          <w:i/>
        </w:rPr>
        <w:t> : Le tableau suivant donne la valeur du revenu disponible des ménages et de leurs dépenses de consommation finale pour les années 2000 à 2010.</w:t>
      </w:r>
    </w:p>
    <w:p w:rsidR="00CE22F8" w:rsidRPr="00887427" w:rsidRDefault="00CE22F8" w:rsidP="003D1F98">
      <w:pPr>
        <w:pStyle w:val="BodyTextIndent"/>
        <w:numPr>
          <w:ilvl w:val="0"/>
          <w:numId w:val="41"/>
        </w:numPr>
        <w:shd w:val="clear" w:color="auto" w:fill="FABF8F" w:themeFill="accent6" w:themeFillTint="99"/>
        <w:ind w:right="1"/>
        <w:rPr>
          <w:rFonts w:asciiTheme="majorHAnsi" w:hAnsiTheme="majorHAnsi"/>
          <w:i/>
        </w:rPr>
      </w:pPr>
      <w:r w:rsidRPr="00887427">
        <w:rPr>
          <w:rFonts w:asciiTheme="majorHAnsi" w:hAnsiTheme="majorHAnsi"/>
          <w:i/>
        </w:rPr>
        <w:t>Représentez le nuage de points [RDB ; Conso.] sous EXCEL.</w:t>
      </w:r>
    </w:p>
    <w:p w:rsidR="00CE22F8" w:rsidRPr="00887427" w:rsidRDefault="00CE22F8" w:rsidP="003D1F98">
      <w:pPr>
        <w:pStyle w:val="BodyTextIndent"/>
        <w:numPr>
          <w:ilvl w:val="0"/>
          <w:numId w:val="41"/>
        </w:numPr>
        <w:shd w:val="clear" w:color="auto" w:fill="FABF8F" w:themeFill="accent6" w:themeFillTint="99"/>
        <w:ind w:right="1"/>
        <w:rPr>
          <w:rFonts w:asciiTheme="majorHAnsi" w:hAnsiTheme="majorHAnsi"/>
          <w:i/>
        </w:rPr>
      </w:pPr>
      <w:r w:rsidRPr="00887427">
        <w:rPr>
          <w:rFonts w:asciiTheme="majorHAnsi" w:hAnsiTheme="majorHAnsi"/>
          <w:i/>
        </w:rPr>
        <w:t xml:space="preserve">Procédez à un ajustement linéaire des points de ce nuage. </w:t>
      </w:r>
    </w:p>
    <w:p w:rsidR="00CE22F8" w:rsidRPr="00887427" w:rsidRDefault="00CE22F8" w:rsidP="003D1F98">
      <w:pPr>
        <w:pStyle w:val="BodyTextIndent"/>
        <w:numPr>
          <w:ilvl w:val="0"/>
          <w:numId w:val="41"/>
        </w:numPr>
        <w:shd w:val="clear" w:color="auto" w:fill="FABF8F" w:themeFill="accent6" w:themeFillTint="99"/>
        <w:ind w:right="1"/>
        <w:rPr>
          <w:rFonts w:asciiTheme="majorHAnsi" w:hAnsiTheme="majorHAnsi"/>
          <w:i/>
        </w:rPr>
      </w:pPr>
      <w:r w:rsidRPr="00887427">
        <w:rPr>
          <w:rFonts w:asciiTheme="majorHAnsi" w:hAnsiTheme="majorHAnsi"/>
          <w:i/>
        </w:rPr>
        <w:t>Calculez le coefficient de détermination et le coefficient de corrélation. Cet ajustement peut-il être considéré comme satisfaisant ?</w:t>
      </w:r>
    </w:p>
    <w:p w:rsidR="00CE22F8" w:rsidRPr="00887427" w:rsidRDefault="00CE22F8" w:rsidP="003D1F98">
      <w:pPr>
        <w:pStyle w:val="BodyTextIndent"/>
        <w:numPr>
          <w:ilvl w:val="0"/>
          <w:numId w:val="41"/>
        </w:numPr>
        <w:shd w:val="clear" w:color="auto" w:fill="FABF8F" w:themeFill="accent6" w:themeFillTint="99"/>
        <w:ind w:right="1"/>
        <w:rPr>
          <w:rFonts w:asciiTheme="majorHAnsi" w:hAnsiTheme="majorHAnsi"/>
          <w:i/>
        </w:rPr>
      </w:pPr>
      <w:r w:rsidRPr="00887427">
        <w:rPr>
          <w:rFonts w:asciiTheme="majorHAnsi" w:hAnsiTheme="majorHAnsi"/>
          <w:i/>
        </w:rPr>
        <w:t>Quelle est la signification de la pente et de la constante de cette droite ?</w:t>
      </w:r>
    </w:p>
    <w:p w:rsidR="00CE22F8" w:rsidRDefault="00CE22F8" w:rsidP="00CE22F8">
      <w:pPr>
        <w:pStyle w:val="BodyTextIndent"/>
        <w:ind w:right="1"/>
        <w:rPr>
          <w:rFonts w:asciiTheme="majorHAnsi" w:hAnsiTheme="majorHAnsi"/>
        </w:rPr>
      </w:pPr>
    </w:p>
    <w:tbl>
      <w:tblPr>
        <w:tblW w:w="3600" w:type="dxa"/>
        <w:jc w:val="center"/>
        <w:tblInd w:w="65" w:type="dxa"/>
        <w:tblCellMar>
          <w:left w:w="70" w:type="dxa"/>
          <w:right w:w="70" w:type="dxa"/>
        </w:tblCellMar>
        <w:tblLook w:val="04A0"/>
      </w:tblPr>
      <w:tblGrid>
        <w:gridCol w:w="1200"/>
        <w:gridCol w:w="1200"/>
        <w:gridCol w:w="1200"/>
      </w:tblGrid>
      <w:tr w:rsidR="00CE22F8" w:rsidRPr="00A51C03">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F8" w:rsidRPr="00A51C03" w:rsidRDefault="00CE22F8" w:rsidP="004926CF">
            <w:pPr>
              <w:jc w:val="center"/>
              <w:rPr>
                <w:rFonts w:asciiTheme="majorHAnsi" w:hAnsiTheme="majorHAnsi"/>
                <w:color w:val="000000"/>
                <w:sz w:val="22"/>
                <w:szCs w:val="22"/>
              </w:rPr>
            </w:pPr>
            <w:r w:rsidRPr="00A51C03">
              <w:rPr>
                <w:rFonts w:asciiTheme="majorHAnsi" w:hAnsiTheme="majorHAnsi"/>
                <w:color w:val="000000"/>
                <w:sz w:val="22"/>
                <w:szCs w:val="22"/>
              </w:rPr>
              <w:t>Année</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E22F8" w:rsidRPr="00A51C03" w:rsidRDefault="00CE22F8" w:rsidP="004926CF">
            <w:pPr>
              <w:jc w:val="center"/>
              <w:rPr>
                <w:rFonts w:asciiTheme="majorHAnsi" w:hAnsiTheme="majorHAnsi"/>
                <w:color w:val="000000"/>
                <w:sz w:val="22"/>
                <w:szCs w:val="22"/>
              </w:rPr>
            </w:pPr>
            <w:r w:rsidRPr="00A51C03">
              <w:rPr>
                <w:rFonts w:asciiTheme="majorHAnsi" w:hAnsiTheme="majorHAnsi"/>
                <w:color w:val="000000"/>
                <w:sz w:val="22"/>
                <w:szCs w:val="22"/>
              </w:rPr>
              <w:t>RDB</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E22F8" w:rsidRPr="00A51C03" w:rsidRDefault="00CE22F8" w:rsidP="004926CF">
            <w:pPr>
              <w:jc w:val="center"/>
              <w:rPr>
                <w:rFonts w:asciiTheme="majorHAnsi" w:hAnsiTheme="majorHAnsi"/>
                <w:color w:val="000000"/>
                <w:sz w:val="22"/>
                <w:szCs w:val="22"/>
              </w:rPr>
            </w:pPr>
            <w:r w:rsidRPr="00A51C03">
              <w:rPr>
                <w:rFonts w:asciiTheme="majorHAnsi" w:hAnsiTheme="majorHAnsi"/>
                <w:color w:val="000000"/>
                <w:sz w:val="22"/>
                <w:szCs w:val="22"/>
              </w:rPr>
              <w:t>Conso. Fin.</w:t>
            </w:r>
          </w:p>
        </w:tc>
      </w:tr>
      <w:tr w:rsidR="00CE22F8" w:rsidRPr="00A51C0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E22F8" w:rsidRPr="00A51C03" w:rsidRDefault="00CE22F8" w:rsidP="004926CF">
            <w:pPr>
              <w:jc w:val="center"/>
              <w:rPr>
                <w:rFonts w:asciiTheme="majorHAnsi" w:hAnsiTheme="majorHAnsi"/>
                <w:color w:val="000000"/>
                <w:sz w:val="22"/>
                <w:szCs w:val="22"/>
              </w:rPr>
            </w:pPr>
            <w:r w:rsidRPr="00A51C03">
              <w:rPr>
                <w:rFonts w:asciiTheme="majorHAnsi" w:hAnsiTheme="majorHAnsi"/>
                <w:color w:val="000000"/>
                <w:sz w:val="22"/>
                <w:szCs w:val="22"/>
              </w:rPr>
              <w:t>2000</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913,3</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782,2</w:t>
            </w:r>
          </w:p>
        </w:tc>
      </w:tr>
      <w:tr w:rsidR="00CE22F8" w:rsidRPr="00A51C0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E22F8" w:rsidRPr="00A51C03" w:rsidRDefault="00CE22F8" w:rsidP="004926CF">
            <w:pPr>
              <w:jc w:val="center"/>
              <w:rPr>
                <w:rFonts w:asciiTheme="majorHAnsi" w:hAnsiTheme="majorHAnsi"/>
                <w:color w:val="000000"/>
                <w:sz w:val="22"/>
                <w:szCs w:val="22"/>
              </w:rPr>
            </w:pPr>
            <w:r w:rsidRPr="00A51C03">
              <w:rPr>
                <w:rFonts w:asciiTheme="majorHAnsi" w:hAnsiTheme="majorHAnsi"/>
                <w:color w:val="000000"/>
                <w:sz w:val="22"/>
                <w:szCs w:val="22"/>
              </w:rPr>
              <w:t>2001</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960,9</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816,3</w:t>
            </w:r>
          </w:p>
        </w:tc>
      </w:tr>
      <w:tr w:rsidR="00CE22F8" w:rsidRPr="00A51C0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E22F8" w:rsidRPr="00A51C03" w:rsidRDefault="00CE22F8" w:rsidP="004926CF">
            <w:pPr>
              <w:jc w:val="center"/>
              <w:rPr>
                <w:rFonts w:asciiTheme="majorHAnsi" w:hAnsiTheme="majorHAnsi"/>
                <w:color w:val="000000"/>
                <w:sz w:val="22"/>
                <w:szCs w:val="22"/>
              </w:rPr>
            </w:pPr>
            <w:r w:rsidRPr="00A51C03">
              <w:rPr>
                <w:rFonts w:asciiTheme="majorHAnsi" w:hAnsiTheme="majorHAnsi"/>
                <w:color w:val="000000"/>
                <w:sz w:val="22"/>
                <w:szCs w:val="22"/>
              </w:rPr>
              <w:t>2002</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1004,4</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840,6</w:t>
            </w:r>
          </w:p>
        </w:tc>
      </w:tr>
      <w:tr w:rsidR="00CE22F8" w:rsidRPr="00A51C0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E22F8" w:rsidRPr="00A51C03" w:rsidRDefault="00CE22F8" w:rsidP="004926CF">
            <w:pPr>
              <w:jc w:val="center"/>
              <w:rPr>
                <w:rFonts w:asciiTheme="majorHAnsi" w:hAnsiTheme="majorHAnsi"/>
                <w:color w:val="000000"/>
                <w:sz w:val="22"/>
                <w:szCs w:val="22"/>
              </w:rPr>
            </w:pPr>
            <w:r w:rsidRPr="00A51C03">
              <w:rPr>
                <w:rFonts w:asciiTheme="majorHAnsi" w:hAnsiTheme="majorHAnsi"/>
                <w:color w:val="000000"/>
                <w:sz w:val="22"/>
                <w:szCs w:val="22"/>
              </w:rPr>
              <w:t>2003</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1029,9</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872,5</w:t>
            </w:r>
          </w:p>
        </w:tc>
      </w:tr>
      <w:tr w:rsidR="00CE22F8" w:rsidRPr="00A51C0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E22F8" w:rsidRPr="00A51C03" w:rsidRDefault="00CE22F8" w:rsidP="004926CF">
            <w:pPr>
              <w:jc w:val="center"/>
              <w:rPr>
                <w:rFonts w:asciiTheme="majorHAnsi" w:hAnsiTheme="majorHAnsi"/>
                <w:color w:val="000000"/>
                <w:sz w:val="22"/>
                <w:szCs w:val="22"/>
              </w:rPr>
            </w:pPr>
            <w:r w:rsidRPr="00A51C03">
              <w:rPr>
                <w:rFonts w:asciiTheme="majorHAnsi" w:hAnsiTheme="majorHAnsi"/>
                <w:color w:val="000000"/>
                <w:sz w:val="22"/>
                <w:szCs w:val="22"/>
              </w:rPr>
              <w:t>2004</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1075,5</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906,6</w:t>
            </w:r>
          </w:p>
        </w:tc>
      </w:tr>
      <w:tr w:rsidR="00CE22F8" w:rsidRPr="00A51C0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E22F8" w:rsidRPr="00A51C03" w:rsidRDefault="00CE22F8" w:rsidP="004926CF">
            <w:pPr>
              <w:jc w:val="center"/>
              <w:rPr>
                <w:rFonts w:asciiTheme="majorHAnsi" w:hAnsiTheme="majorHAnsi"/>
                <w:color w:val="000000"/>
                <w:sz w:val="22"/>
                <w:szCs w:val="22"/>
              </w:rPr>
            </w:pPr>
            <w:r w:rsidRPr="00A51C03">
              <w:rPr>
                <w:rFonts w:asciiTheme="majorHAnsi" w:hAnsiTheme="majorHAnsi"/>
                <w:color w:val="000000"/>
                <w:sz w:val="22"/>
                <w:szCs w:val="22"/>
              </w:rPr>
              <w:t>2005</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1108,7</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946,1</w:t>
            </w:r>
          </w:p>
        </w:tc>
      </w:tr>
      <w:tr w:rsidR="00CE22F8" w:rsidRPr="00A51C0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E22F8" w:rsidRPr="00A51C03" w:rsidRDefault="00CE22F8" w:rsidP="004926CF">
            <w:pPr>
              <w:jc w:val="center"/>
              <w:rPr>
                <w:rFonts w:asciiTheme="majorHAnsi" w:hAnsiTheme="majorHAnsi"/>
                <w:color w:val="000000"/>
                <w:sz w:val="22"/>
                <w:szCs w:val="22"/>
              </w:rPr>
            </w:pPr>
            <w:r w:rsidRPr="00A51C03">
              <w:rPr>
                <w:rFonts w:asciiTheme="majorHAnsi" w:hAnsiTheme="majorHAnsi"/>
                <w:color w:val="000000"/>
                <w:sz w:val="22"/>
                <w:szCs w:val="22"/>
              </w:rPr>
              <w:t>2006</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1159,4</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986,6</w:t>
            </w:r>
          </w:p>
        </w:tc>
      </w:tr>
      <w:tr w:rsidR="00CE22F8" w:rsidRPr="00A51C0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E22F8" w:rsidRPr="00A51C03" w:rsidRDefault="00CE22F8" w:rsidP="004926CF">
            <w:pPr>
              <w:jc w:val="center"/>
              <w:rPr>
                <w:rFonts w:asciiTheme="majorHAnsi" w:hAnsiTheme="majorHAnsi"/>
                <w:color w:val="000000"/>
                <w:sz w:val="22"/>
                <w:szCs w:val="22"/>
              </w:rPr>
            </w:pPr>
            <w:r w:rsidRPr="00A51C03">
              <w:rPr>
                <w:rFonts w:asciiTheme="majorHAnsi" w:hAnsiTheme="majorHAnsi"/>
                <w:color w:val="000000"/>
                <w:sz w:val="22"/>
                <w:szCs w:val="22"/>
              </w:rPr>
              <w:t>2007</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1218,7</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1030,5</w:t>
            </w:r>
          </w:p>
        </w:tc>
      </w:tr>
      <w:tr w:rsidR="00CE22F8" w:rsidRPr="00A51C0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E22F8" w:rsidRPr="00A51C03" w:rsidRDefault="00CE22F8" w:rsidP="004926CF">
            <w:pPr>
              <w:jc w:val="center"/>
              <w:rPr>
                <w:rFonts w:asciiTheme="majorHAnsi" w:hAnsiTheme="majorHAnsi"/>
                <w:color w:val="000000"/>
                <w:sz w:val="22"/>
                <w:szCs w:val="22"/>
              </w:rPr>
            </w:pPr>
            <w:r w:rsidRPr="00A51C03">
              <w:rPr>
                <w:rFonts w:asciiTheme="majorHAnsi" w:hAnsiTheme="majorHAnsi"/>
                <w:color w:val="000000"/>
                <w:sz w:val="22"/>
                <w:szCs w:val="22"/>
              </w:rPr>
              <w:t>2008</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1259,3</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1063,7</w:t>
            </w:r>
          </w:p>
        </w:tc>
      </w:tr>
      <w:tr w:rsidR="00CE22F8" w:rsidRPr="00A51C0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E22F8" w:rsidRPr="00A51C03" w:rsidRDefault="00CE22F8" w:rsidP="004926CF">
            <w:pPr>
              <w:jc w:val="center"/>
              <w:rPr>
                <w:rFonts w:asciiTheme="majorHAnsi" w:hAnsiTheme="majorHAnsi"/>
                <w:color w:val="000000"/>
                <w:sz w:val="22"/>
                <w:szCs w:val="22"/>
              </w:rPr>
            </w:pPr>
            <w:r w:rsidRPr="00A51C03">
              <w:rPr>
                <w:rFonts w:asciiTheme="majorHAnsi" w:hAnsiTheme="majorHAnsi"/>
                <w:color w:val="000000"/>
                <w:sz w:val="22"/>
                <w:szCs w:val="22"/>
              </w:rPr>
              <w:t>2009</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1267,1</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1057,8</w:t>
            </w:r>
          </w:p>
        </w:tc>
      </w:tr>
      <w:tr w:rsidR="00CE22F8" w:rsidRPr="00A51C0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E22F8" w:rsidRPr="00A51C03" w:rsidRDefault="00CE22F8" w:rsidP="004926CF">
            <w:pPr>
              <w:jc w:val="center"/>
              <w:rPr>
                <w:rFonts w:asciiTheme="majorHAnsi" w:hAnsiTheme="majorHAnsi"/>
                <w:color w:val="000000"/>
                <w:sz w:val="22"/>
                <w:szCs w:val="22"/>
              </w:rPr>
            </w:pPr>
            <w:r w:rsidRPr="00A51C03">
              <w:rPr>
                <w:rFonts w:asciiTheme="majorHAnsi" w:hAnsiTheme="majorHAnsi"/>
                <w:color w:val="000000"/>
                <w:sz w:val="22"/>
                <w:szCs w:val="22"/>
              </w:rPr>
              <w:t>2010</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1292,1</w:t>
            </w:r>
          </w:p>
        </w:tc>
        <w:tc>
          <w:tcPr>
            <w:tcW w:w="1200" w:type="dxa"/>
            <w:tcBorders>
              <w:top w:val="nil"/>
              <w:left w:val="nil"/>
              <w:bottom w:val="single" w:sz="4" w:space="0" w:color="auto"/>
              <w:right w:val="single" w:sz="4" w:space="0" w:color="auto"/>
            </w:tcBorders>
            <w:shd w:val="clear" w:color="auto" w:fill="auto"/>
            <w:noWrap/>
            <w:vAlign w:val="bottom"/>
          </w:tcPr>
          <w:p w:rsidR="00CE22F8" w:rsidRPr="00A51C03" w:rsidRDefault="00CE22F8" w:rsidP="004926CF">
            <w:pPr>
              <w:jc w:val="right"/>
              <w:rPr>
                <w:rFonts w:asciiTheme="majorHAnsi" w:hAnsiTheme="majorHAnsi"/>
                <w:color w:val="000000"/>
                <w:sz w:val="22"/>
                <w:szCs w:val="22"/>
              </w:rPr>
            </w:pPr>
            <w:r w:rsidRPr="00A51C03">
              <w:rPr>
                <w:rFonts w:asciiTheme="majorHAnsi" w:hAnsiTheme="majorHAnsi"/>
                <w:color w:val="000000"/>
                <w:sz w:val="22"/>
                <w:szCs w:val="22"/>
              </w:rPr>
              <w:t>1084,8</w:t>
            </w:r>
          </w:p>
        </w:tc>
      </w:tr>
    </w:tbl>
    <w:p w:rsidR="00CE22F8" w:rsidRDefault="00CE22F8" w:rsidP="00CE22F8">
      <w:pPr>
        <w:pStyle w:val="BodyTextIndent"/>
        <w:ind w:right="1"/>
        <w:rPr>
          <w:rFonts w:asciiTheme="majorHAnsi" w:hAnsiTheme="majorHAnsi"/>
        </w:rPr>
      </w:pPr>
    </w:p>
    <w:p w:rsidR="00CE22F8" w:rsidRDefault="00CE22F8" w:rsidP="00CE22F8">
      <w:pPr>
        <w:pStyle w:val="BodyTextIndent"/>
        <w:ind w:right="1"/>
        <w:rPr>
          <w:rFonts w:asciiTheme="majorHAnsi" w:hAnsiTheme="majorHAnsi"/>
        </w:rPr>
      </w:pPr>
      <w:r>
        <w:rPr>
          <w:rFonts w:asciiTheme="majorHAnsi" w:hAnsiTheme="majorHAnsi"/>
        </w:rPr>
        <w:t xml:space="preserve">Réponses : </w:t>
      </w:r>
    </w:p>
    <w:p w:rsidR="00CE22F8" w:rsidRDefault="00CE22F8" w:rsidP="00CE22F8">
      <w:pPr>
        <w:pStyle w:val="BodyTextIndent"/>
        <w:ind w:right="1"/>
        <w:rPr>
          <w:rFonts w:asciiTheme="majorHAnsi" w:hAnsiTheme="majorHAnsi"/>
        </w:rPr>
      </w:pPr>
    </w:p>
    <w:p w:rsidR="00CE22F8" w:rsidRDefault="00CE22F8" w:rsidP="00353742">
      <w:pPr>
        <w:pStyle w:val="BodyTextIndent"/>
        <w:ind w:right="1" w:firstLine="0"/>
        <w:jc w:val="center"/>
        <w:rPr>
          <w:rFonts w:asciiTheme="majorHAnsi" w:hAnsiTheme="majorHAnsi"/>
        </w:rPr>
      </w:pPr>
      <w:r w:rsidRPr="00CE22F8">
        <w:rPr>
          <w:rFonts w:asciiTheme="majorHAnsi" w:hAnsiTheme="majorHAnsi"/>
          <w:noProof/>
          <w:lang w:val="en-US" w:eastAsia="en-US"/>
        </w:rPr>
        <w:drawing>
          <wp:inline distT="0" distB="0" distL="0" distR="0">
            <wp:extent cx="4101776" cy="1733107"/>
            <wp:effectExtent l="19050" t="0" r="13024" b="443"/>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22F8" w:rsidRPr="00AB74EF" w:rsidRDefault="00CE22F8" w:rsidP="00CE22F8">
      <w:pPr>
        <w:pStyle w:val="BodyTextIndent"/>
        <w:ind w:right="1"/>
        <w:rPr>
          <w:rFonts w:asciiTheme="majorHAnsi" w:hAnsiTheme="majorHAnsi"/>
        </w:rPr>
      </w:pPr>
    </w:p>
    <w:p w:rsidR="00B203B8" w:rsidRDefault="00B203B8" w:rsidP="00887427">
      <w:pPr>
        <w:pStyle w:val="BodyTextIndent"/>
        <w:shd w:val="clear" w:color="auto" w:fill="FABF8F" w:themeFill="accent6" w:themeFillTint="99"/>
        <w:spacing w:after="120"/>
        <w:ind w:right="1"/>
        <w:rPr>
          <w:rFonts w:asciiTheme="majorHAnsi" w:hAnsiTheme="majorHAnsi"/>
        </w:rPr>
      </w:pPr>
      <w:r>
        <w:rPr>
          <w:rFonts w:asciiTheme="majorHAnsi" w:hAnsiTheme="majorHAnsi"/>
        </w:rPr>
        <w:t>La droite de régression a pour équation :  C = 0,81655205*RDB + 32,0769952</w:t>
      </w:r>
    </w:p>
    <w:p w:rsidR="00B203B8" w:rsidRDefault="00B203B8" w:rsidP="00887427">
      <w:pPr>
        <w:pStyle w:val="BodyTextIndent"/>
        <w:shd w:val="clear" w:color="auto" w:fill="FABF8F" w:themeFill="accent6" w:themeFillTint="99"/>
        <w:spacing w:after="120"/>
        <w:ind w:right="1"/>
        <w:rPr>
          <w:rFonts w:asciiTheme="majorHAnsi" w:hAnsiTheme="majorHAnsi"/>
        </w:rPr>
      </w:pPr>
      <w:r>
        <w:rPr>
          <w:rFonts w:asciiTheme="majorHAnsi" w:hAnsiTheme="majorHAnsi"/>
        </w:rPr>
        <w:t xml:space="preserve">Le coefficient de détermination est égal à 0,99644877, et le coefficient de corrélation en conséquence à 0,9982228. Ces deux coefficients sont très proches de 1, et le coefficient de corrélation est positif. </w:t>
      </w:r>
    </w:p>
    <w:p w:rsidR="004926CF" w:rsidRDefault="00B203B8" w:rsidP="00887427">
      <w:pPr>
        <w:pStyle w:val="BodyTextIndent"/>
        <w:shd w:val="clear" w:color="auto" w:fill="FABF8F" w:themeFill="accent6" w:themeFillTint="99"/>
        <w:spacing w:after="120"/>
        <w:ind w:right="1"/>
        <w:rPr>
          <w:rFonts w:asciiTheme="majorHAnsi" w:hAnsiTheme="majorHAnsi"/>
        </w:rPr>
      </w:pPr>
      <w:r>
        <w:rPr>
          <w:rFonts w:asciiTheme="majorHAnsi" w:hAnsiTheme="majorHAnsi"/>
        </w:rPr>
        <w:t xml:space="preserve">On peut donc considérer que l’ajustement linéaire des couples (RDB ; Conso.Fin.) est satisfaisant : il y a bien une relation linéaire positive entre revenu et consommation des ménages. </w:t>
      </w:r>
      <w:r w:rsidR="004926CF">
        <w:rPr>
          <w:rFonts w:asciiTheme="majorHAnsi" w:hAnsiTheme="majorHAnsi"/>
        </w:rPr>
        <w:t xml:space="preserve">Lorsque le revenu augmente, la consommation augmente aussi. </w:t>
      </w:r>
    </w:p>
    <w:p w:rsidR="003E1CB1" w:rsidRDefault="00B203B8" w:rsidP="003E1CB1">
      <w:pPr>
        <w:pStyle w:val="BodyTextIndent"/>
        <w:shd w:val="clear" w:color="auto" w:fill="FABF8F" w:themeFill="accent6" w:themeFillTint="99"/>
        <w:spacing w:after="120"/>
        <w:ind w:right="1"/>
        <w:rPr>
          <w:rFonts w:asciiTheme="majorHAnsi" w:hAnsiTheme="majorHAnsi"/>
        </w:rPr>
      </w:pPr>
      <w:r>
        <w:rPr>
          <w:rFonts w:asciiTheme="majorHAnsi" w:hAnsiTheme="majorHAnsi"/>
        </w:rPr>
        <w:t>La consommation incompressible est évaluée à 32,08 milliards d’€ (constante de la droite de régression) et si le revenu des ménages augmentait de 100€, leur consommation augmenterait de 81,66€</w:t>
      </w:r>
      <w:r w:rsidR="003E1CB1">
        <w:rPr>
          <w:rFonts w:asciiTheme="majorHAnsi" w:hAnsiTheme="majorHAnsi"/>
        </w:rPr>
        <w:t>, et leur épargne, en conséquence de 18,34€</w:t>
      </w:r>
      <w:r>
        <w:rPr>
          <w:rFonts w:asciiTheme="majorHAnsi" w:hAnsiTheme="majorHAnsi"/>
        </w:rPr>
        <w:t> : leur propension marginale à consommer est égale à 0,8166</w:t>
      </w:r>
      <w:r w:rsidR="004926CF">
        <w:rPr>
          <w:rFonts w:asciiTheme="majorHAnsi" w:hAnsiTheme="majorHAnsi"/>
        </w:rPr>
        <w:t xml:space="preserve"> (pente de la droite de régression)</w:t>
      </w:r>
      <w:r w:rsidR="003E1CB1">
        <w:rPr>
          <w:rFonts w:asciiTheme="majorHAnsi" w:hAnsiTheme="majorHAnsi"/>
        </w:rPr>
        <w:t>, et  leur propension marginale à épargner leur revenu disponible est alors égale à 0,1834</w:t>
      </w:r>
      <w:r>
        <w:rPr>
          <w:rFonts w:asciiTheme="majorHAnsi" w:hAnsiTheme="majorHAnsi"/>
        </w:rPr>
        <w:t>.</w:t>
      </w:r>
    </w:p>
    <w:p w:rsidR="00B203B8" w:rsidRDefault="00B203B8" w:rsidP="002A7130">
      <w:pPr>
        <w:pStyle w:val="BodyTextIndent"/>
        <w:spacing w:after="120"/>
        <w:ind w:right="1"/>
        <w:rPr>
          <w:rFonts w:asciiTheme="majorHAnsi" w:hAnsiTheme="majorHAnsi"/>
        </w:rPr>
      </w:pPr>
    </w:p>
    <w:p w:rsidR="00234D05" w:rsidRDefault="002A7130" w:rsidP="002A7130">
      <w:pPr>
        <w:pStyle w:val="BodyTextIndent"/>
        <w:spacing w:after="120"/>
        <w:ind w:right="1"/>
        <w:rPr>
          <w:rFonts w:asciiTheme="majorHAnsi" w:hAnsiTheme="majorHAnsi"/>
        </w:rPr>
      </w:pPr>
      <w:r w:rsidRPr="00AB74EF">
        <w:rPr>
          <w:rFonts w:asciiTheme="majorHAnsi" w:hAnsiTheme="majorHAnsi"/>
        </w:rPr>
        <w:t>Pour KEYNES, les ménages, quel que soit leur niveau de revenu, tentent d’abord de satisfaire au mieux leurs besoins en consommation.</w:t>
      </w:r>
      <w:r w:rsidR="00234D05">
        <w:rPr>
          <w:rFonts w:asciiTheme="majorHAnsi" w:hAnsiTheme="majorHAnsi"/>
        </w:rPr>
        <w:t xml:space="preserve"> </w:t>
      </w:r>
    </w:p>
    <w:p w:rsidR="002A7130" w:rsidRPr="00AB74EF" w:rsidRDefault="00234D05" w:rsidP="00234D05">
      <w:pPr>
        <w:pStyle w:val="BodyTextIndent"/>
        <w:pBdr>
          <w:top w:val="single" w:sz="4" w:space="1" w:color="auto"/>
          <w:left w:val="single" w:sz="4" w:space="4" w:color="auto"/>
          <w:bottom w:val="single" w:sz="4" w:space="1" w:color="auto"/>
          <w:right w:val="single" w:sz="4" w:space="4" w:color="auto"/>
        </w:pBdr>
        <w:spacing w:after="120"/>
        <w:ind w:right="1"/>
        <w:jc w:val="center"/>
        <w:rPr>
          <w:rFonts w:asciiTheme="majorHAnsi" w:hAnsiTheme="majorHAnsi"/>
        </w:rPr>
      </w:pPr>
      <w:r>
        <w:rPr>
          <w:rFonts w:asciiTheme="majorHAnsi" w:hAnsiTheme="majorHAnsi"/>
        </w:rPr>
        <w:t>S</w:t>
      </w:r>
      <w:r w:rsidR="002A7130" w:rsidRPr="00AB74EF">
        <w:rPr>
          <w:rFonts w:asciiTheme="majorHAnsi" w:hAnsiTheme="majorHAnsi"/>
        </w:rPr>
        <w:t>’agissant des décisions d’affectation du revenu</w:t>
      </w:r>
      <w:r w:rsidR="002A7130" w:rsidRPr="00234D05">
        <w:rPr>
          <w:rFonts w:asciiTheme="majorHAnsi" w:hAnsiTheme="majorHAnsi"/>
          <w:b/>
          <w:i/>
        </w:rPr>
        <w:t xml:space="preserve">, la consommation est première, et l’épargne représente ainsi la part </w:t>
      </w:r>
      <w:r>
        <w:rPr>
          <w:rFonts w:asciiTheme="majorHAnsi" w:hAnsiTheme="majorHAnsi"/>
          <w:b/>
          <w:i/>
        </w:rPr>
        <w:t>non consommée du revenu</w:t>
      </w:r>
      <w:r w:rsidR="002A7130" w:rsidRPr="00234D05">
        <w:rPr>
          <w:rFonts w:asciiTheme="majorHAnsi" w:hAnsiTheme="majorHAnsi"/>
          <w:b/>
          <w:i/>
        </w:rPr>
        <w:t>.</w:t>
      </w:r>
    </w:p>
    <w:p w:rsidR="002A7130" w:rsidRPr="00AB74EF" w:rsidRDefault="002A7130" w:rsidP="002A7130">
      <w:pPr>
        <w:pStyle w:val="BodyTextIndent"/>
        <w:ind w:right="1"/>
        <w:rPr>
          <w:rFonts w:asciiTheme="majorHAnsi" w:hAnsiTheme="majorHAnsi"/>
        </w:rPr>
      </w:pPr>
      <w:r w:rsidRPr="00AB74EF">
        <w:rPr>
          <w:rFonts w:asciiTheme="majorHAnsi" w:hAnsiTheme="majorHAnsi"/>
        </w:rPr>
        <w:t xml:space="preserve">Les ménages peuvent cependant décider </w:t>
      </w:r>
      <w:r w:rsidRPr="00AB74EF">
        <w:rPr>
          <w:rFonts w:asciiTheme="majorHAnsi" w:hAnsiTheme="majorHAnsi"/>
          <w:i/>
        </w:rPr>
        <w:t>ex ante</w:t>
      </w:r>
      <w:r w:rsidR="003E1CB1">
        <w:rPr>
          <w:rFonts w:asciiTheme="majorHAnsi" w:hAnsiTheme="majorHAnsi"/>
        </w:rPr>
        <w:t xml:space="preserve"> </w:t>
      </w:r>
      <w:r w:rsidRPr="00AB74EF">
        <w:rPr>
          <w:rFonts w:asciiTheme="majorHAnsi" w:hAnsiTheme="majorHAnsi"/>
        </w:rPr>
        <w:t xml:space="preserve">de consacrer une part plus ou moins importante de leur revenu à l’épargne : </w:t>
      </w:r>
    </w:p>
    <w:p w:rsidR="002A7130" w:rsidRPr="00AB74EF" w:rsidRDefault="002A7130" w:rsidP="00AB74EF">
      <w:pPr>
        <w:pStyle w:val="BodyTextIndent"/>
        <w:numPr>
          <w:ilvl w:val="0"/>
          <w:numId w:val="1"/>
        </w:numPr>
        <w:ind w:right="1"/>
        <w:rPr>
          <w:rFonts w:asciiTheme="majorHAnsi" w:hAnsiTheme="majorHAnsi"/>
        </w:rPr>
      </w:pPr>
      <w:r w:rsidRPr="00AB74EF">
        <w:rPr>
          <w:rFonts w:asciiTheme="majorHAnsi" w:hAnsiTheme="majorHAnsi"/>
        </w:rPr>
        <w:t>Pour répondre à des besoins prévisibles à long terme, par exemple pour se constituer une retraite ou couvrir les besoins de l’éducation des enfants, en vue d’acquérir un logement ou de s’installer à son compte (</w:t>
      </w:r>
      <w:r w:rsidRPr="00234D05">
        <w:rPr>
          <w:rFonts w:asciiTheme="majorHAnsi" w:hAnsiTheme="majorHAnsi"/>
          <w:b/>
          <w:i/>
        </w:rPr>
        <w:t>épargne contractuelle</w:t>
      </w:r>
      <w:r w:rsidRPr="00AB74EF">
        <w:rPr>
          <w:rFonts w:asciiTheme="majorHAnsi" w:hAnsiTheme="majorHAnsi"/>
        </w:rPr>
        <w:t xml:space="preserve"> généralement stable par nature),</w:t>
      </w:r>
    </w:p>
    <w:p w:rsidR="002A7130" w:rsidRPr="00AB74EF" w:rsidRDefault="002A7130" w:rsidP="00AB74EF">
      <w:pPr>
        <w:pStyle w:val="BodyTextIndent"/>
        <w:numPr>
          <w:ilvl w:val="0"/>
          <w:numId w:val="1"/>
        </w:numPr>
        <w:spacing w:after="120"/>
        <w:ind w:right="1"/>
        <w:rPr>
          <w:rFonts w:asciiTheme="majorHAnsi" w:hAnsiTheme="majorHAnsi"/>
        </w:rPr>
      </w:pPr>
      <w:r w:rsidRPr="00AB74EF">
        <w:rPr>
          <w:rFonts w:asciiTheme="majorHAnsi" w:hAnsiTheme="majorHAnsi"/>
        </w:rPr>
        <w:t xml:space="preserve">Ou pour se prémunir contre un risque imprévisible (maladie, chômage, etc. : le montant de cette </w:t>
      </w:r>
      <w:r w:rsidRPr="00234D05">
        <w:rPr>
          <w:rFonts w:asciiTheme="majorHAnsi" w:hAnsiTheme="majorHAnsi"/>
          <w:b/>
          <w:i/>
        </w:rPr>
        <w:t>épargne « de précaution »</w:t>
      </w:r>
      <w:r w:rsidRPr="00AB74EF">
        <w:rPr>
          <w:rFonts w:asciiTheme="majorHAnsi" w:hAnsiTheme="majorHAnsi"/>
        </w:rPr>
        <w:t xml:space="preserve"> a tendance à augmenter en période de crise économique).</w:t>
      </w:r>
    </w:p>
    <w:p w:rsidR="002A7130" w:rsidRPr="00AB74EF" w:rsidRDefault="002A7130" w:rsidP="002A7130">
      <w:pPr>
        <w:pStyle w:val="BodyTextIndent"/>
        <w:ind w:right="1"/>
        <w:rPr>
          <w:rFonts w:asciiTheme="majorHAnsi" w:hAnsiTheme="majorHAnsi"/>
        </w:rPr>
      </w:pPr>
      <w:r w:rsidRPr="00AB74EF">
        <w:rPr>
          <w:rFonts w:asciiTheme="majorHAnsi" w:hAnsiTheme="majorHAnsi"/>
        </w:rPr>
        <w:t>De ce point de vue, la part épargnée du revenu disponible des ménages est donc déterminée à la fois par des facteurs structurels (organisation et importance de la protection sociale – maladie, prestations familiales, retraites, etc. – mode de financement de l’éducation et des services publics, attirance pour la propriété, importance du crédit) et par des facteurs conjoncturels, qui déterminent la confiance des ménages en l’avenir.</w:t>
      </w:r>
    </w:p>
    <w:p w:rsidR="002A7130" w:rsidRPr="00AB74EF" w:rsidRDefault="002A7130" w:rsidP="002A7130">
      <w:pPr>
        <w:pStyle w:val="BodyTextIndent"/>
        <w:ind w:right="1" w:firstLine="0"/>
        <w:rPr>
          <w:rFonts w:asciiTheme="majorHAnsi" w:hAnsiTheme="majorHAnsi"/>
        </w:rPr>
      </w:pPr>
    </w:p>
    <w:p w:rsidR="002A7130" w:rsidRPr="00AB74EF" w:rsidRDefault="002A7130" w:rsidP="002A7130">
      <w:pPr>
        <w:pStyle w:val="BodyTextIndent"/>
        <w:ind w:right="1"/>
        <w:rPr>
          <w:rFonts w:asciiTheme="majorHAnsi" w:hAnsiTheme="majorHAnsi"/>
        </w:rPr>
      </w:pPr>
      <w:r w:rsidRPr="00AB74EF">
        <w:rPr>
          <w:rFonts w:asciiTheme="majorHAnsi" w:hAnsiTheme="majorHAnsi"/>
        </w:rPr>
        <w:t>Ils peuvent aussi constituer</w:t>
      </w:r>
      <w:r w:rsidR="003E1CB1">
        <w:rPr>
          <w:rFonts w:asciiTheme="majorHAnsi" w:hAnsiTheme="majorHAnsi"/>
        </w:rPr>
        <w:t>, si leur revenu le leur permet,</w:t>
      </w:r>
      <w:r w:rsidRPr="00AB74EF">
        <w:rPr>
          <w:rFonts w:asciiTheme="majorHAnsi" w:hAnsiTheme="majorHAnsi"/>
        </w:rPr>
        <w:t xml:space="preserve"> une </w:t>
      </w:r>
      <w:r w:rsidRPr="00234D05">
        <w:rPr>
          <w:rFonts w:asciiTheme="majorHAnsi" w:hAnsiTheme="majorHAnsi"/>
          <w:b/>
          <w:i/>
        </w:rPr>
        <w:t>épargne à des fins spéculatives</w:t>
      </w:r>
      <w:r w:rsidRPr="00AB74EF">
        <w:rPr>
          <w:rFonts w:asciiTheme="majorHAnsi" w:hAnsiTheme="majorHAnsi"/>
        </w:rPr>
        <w:t>, c’est-à-dire destinée à des placements sur les marchés financiers, dans le but de percevoir des intérêts ou des dividendes, et de réaliser des plus-values en revendant ces actifs financiers pour bénéficier de la hausse de leur cours… Il est clair que ce type d’épargne concerne essentiellement les ménages relativement aisés.</w:t>
      </w:r>
    </w:p>
    <w:p w:rsidR="002A7130" w:rsidRPr="00AB74EF" w:rsidRDefault="002A7130" w:rsidP="002A7130">
      <w:pPr>
        <w:pStyle w:val="BodyTextIndent"/>
        <w:ind w:right="1"/>
        <w:rPr>
          <w:rFonts w:asciiTheme="majorHAnsi" w:hAnsiTheme="majorHAnsi"/>
        </w:rPr>
      </w:pPr>
    </w:p>
    <w:p w:rsidR="002A7130" w:rsidRPr="00234D05" w:rsidRDefault="002A7130" w:rsidP="00234D05">
      <w:pPr>
        <w:pStyle w:val="BodyTextIndent"/>
        <w:pBdr>
          <w:top w:val="single" w:sz="4" w:space="1" w:color="auto"/>
          <w:left w:val="single" w:sz="4" w:space="4" w:color="auto"/>
          <w:bottom w:val="single" w:sz="4" w:space="1" w:color="auto"/>
          <w:right w:val="single" w:sz="4" w:space="4" w:color="auto"/>
        </w:pBdr>
        <w:spacing w:after="120"/>
        <w:ind w:right="1"/>
        <w:jc w:val="center"/>
        <w:rPr>
          <w:rFonts w:asciiTheme="majorHAnsi" w:hAnsiTheme="majorHAnsi"/>
          <w:b/>
          <w:i/>
        </w:rPr>
      </w:pPr>
      <w:r w:rsidRPr="00234D05">
        <w:rPr>
          <w:rFonts w:asciiTheme="majorHAnsi" w:hAnsiTheme="majorHAnsi"/>
          <w:b/>
          <w:i/>
        </w:rPr>
        <w:t xml:space="preserve">En tout état de cause, pour KEYNES, une hausse du revenu disponible des ménages entraîne simultanément un accroissement en valeur de leur consommation </w:t>
      </w:r>
      <w:r w:rsidRPr="00234D05">
        <w:rPr>
          <w:rFonts w:asciiTheme="majorHAnsi" w:hAnsiTheme="majorHAnsi"/>
          <w:b/>
          <w:i/>
          <w:u w:val="single"/>
        </w:rPr>
        <w:t>et</w:t>
      </w:r>
      <w:r w:rsidRPr="00234D05">
        <w:rPr>
          <w:rFonts w:asciiTheme="majorHAnsi" w:hAnsiTheme="majorHAnsi"/>
          <w:b/>
          <w:i/>
        </w:rPr>
        <w:t xml:space="preserve"> de leur épargne.</w:t>
      </w:r>
    </w:p>
    <w:p w:rsidR="00533CF7" w:rsidRDefault="00533CF7" w:rsidP="00234D05">
      <w:pPr>
        <w:pStyle w:val="BodyTextIndent"/>
        <w:spacing w:after="120"/>
        <w:ind w:right="1" w:firstLine="0"/>
        <w:rPr>
          <w:rFonts w:asciiTheme="majorHAnsi" w:hAnsiTheme="majorHAnsi"/>
        </w:rPr>
      </w:pPr>
    </w:p>
    <w:p w:rsidR="00C23BD1" w:rsidRPr="00C23BD1" w:rsidRDefault="00C23BD1" w:rsidP="00AF0A12">
      <w:pPr>
        <w:pStyle w:val="BodyTextIndent"/>
        <w:shd w:val="clear" w:color="auto" w:fill="FABF8F" w:themeFill="accent6" w:themeFillTint="99"/>
        <w:spacing w:after="120"/>
        <w:ind w:right="1" w:firstLine="0"/>
        <w:rPr>
          <w:rFonts w:asciiTheme="majorHAnsi" w:hAnsiTheme="majorHAnsi"/>
          <w:b/>
        </w:rPr>
      </w:pPr>
      <w:r w:rsidRPr="00C23BD1">
        <w:rPr>
          <w:rFonts w:asciiTheme="majorHAnsi" w:hAnsiTheme="majorHAnsi"/>
          <w:b/>
        </w:rPr>
        <w:t>Exercice 3 :</w:t>
      </w:r>
      <w:r>
        <w:rPr>
          <w:rFonts w:asciiTheme="majorHAnsi" w:hAnsiTheme="majorHAnsi"/>
          <w:b/>
        </w:rPr>
        <w:t xml:space="preserve"> </w:t>
      </w:r>
      <w:r w:rsidRPr="00C23BD1">
        <w:rPr>
          <w:rFonts w:asciiTheme="majorHAnsi" w:hAnsiTheme="majorHAnsi"/>
          <w:b/>
        </w:rPr>
        <w:t>Un modèle à deux agents.</w:t>
      </w:r>
    </w:p>
    <w:p w:rsidR="00AF0A12" w:rsidRPr="00AB74EF" w:rsidRDefault="00AF0A12" w:rsidP="00AF0A12">
      <w:pPr>
        <w:pStyle w:val="BodyTextIndent"/>
        <w:shd w:val="clear" w:color="auto" w:fill="FABF8F" w:themeFill="accent6" w:themeFillTint="99"/>
        <w:ind w:right="-1" w:firstLine="0"/>
        <w:rPr>
          <w:rFonts w:asciiTheme="majorHAnsi" w:hAnsiTheme="majorHAnsi"/>
        </w:rPr>
      </w:pPr>
      <w:r w:rsidRPr="00AB74EF">
        <w:rPr>
          <w:rFonts w:asciiTheme="majorHAnsi" w:hAnsiTheme="majorHAnsi"/>
        </w:rPr>
        <w:t>Imaginons une économie composée de deux secteurs institutionnels seulement :</w:t>
      </w:r>
    </w:p>
    <w:p w:rsidR="00AF0A12" w:rsidRPr="00AB74EF" w:rsidRDefault="00AF0A12" w:rsidP="00AF0A12">
      <w:pPr>
        <w:pStyle w:val="BodyTextIndent"/>
        <w:shd w:val="clear" w:color="auto" w:fill="FABF8F" w:themeFill="accent6" w:themeFillTint="99"/>
        <w:ind w:right="-1" w:firstLine="0"/>
        <w:rPr>
          <w:rFonts w:asciiTheme="majorHAnsi" w:hAnsiTheme="majorHAnsi"/>
        </w:rPr>
      </w:pPr>
    </w:p>
    <w:p w:rsidR="00AF0A12" w:rsidRPr="00AB74EF" w:rsidRDefault="00AF0A12" w:rsidP="003D1F98">
      <w:pPr>
        <w:pStyle w:val="BodyTextIndent"/>
        <w:numPr>
          <w:ilvl w:val="0"/>
          <w:numId w:val="30"/>
        </w:numPr>
        <w:shd w:val="clear" w:color="auto" w:fill="FABF8F" w:themeFill="accent6" w:themeFillTint="99"/>
        <w:ind w:right="-1"/>
        <w:rPr>
          <w:rFonts w:asciiTheme="majorHAnsi" w:hAnsiTheme="majorHAnsi"/>
        </w:rPr>
      </w:pPr>
      <w:r w:rsidRPr="00AB74EF">
        <w:rPr>
          <w:rFonts w:asciiTheme="majorHAnsi" w:hAnsiTheme="majorHAnsi"/>
          <w:b/>
          <w:i/>
        </w:rPr>
        <w:t>les entreprises</w:t>
      </w:r>
      <w:r w:rsidRPr="00AB74EF">
        <w:rPr>
          <w:rFonts w:asciiTheme="majorHAnsi" w:hAnsiTheme="majorHAnsi"/>
        </w:rPr>
        <w:t xml:space="preserve">, qui produisent les biens et les services destinés aux ménages, et redistribuent à ces derniers, sous forme de revenus de diverse nature, la valeur du produit intérieur brut de la période considérée. </w:t>
      </w:r>
    </w:p>
    <w:p w:rsidR="00AF0A12" w:rsidRPr="00AB74EF" w:rsidRDefault="00AF0A12" w:rsidP="003D1F98">
      <w:pPr>
        <w:pStyle w:val="BodyTextIndent"/>
        <w:numPr>
          <w:ilvl w:val="0"/>
          <w:numId w:val="31"/>
        </w:numPr>
        <w:shd w:val="clear" w:color="auto" w:fill="FABF8F" w:themeFill="accent6" w:themeFillTint="99"/>
        <w:tabs>
          <w:tab w:val="clear" w:pos="1144"/>
          <w:tab w:val="num" w:pos="435"/>
        </w:tabs>
        <w:ind w:left="435" w:right="-1"/>
        <w:rPr>
          <w:rFonts w:asciiTheme="majorHAnsi" w:hAnsiTheme="majorHAnsi"/>
        </w:rPr>
      </w:pPr>
      <w:r w:rsidRPr="00AB74EF">
        <w:rPr>
          <w:rFonts w:asciiTheme="majorHAnsi" w:hAnsiTheme="majorHAnsi"/>
          <w:i/>
        </w:rPr>
        <w:t>Soit Y le produit intérieur brut</w:t>
      </w:r>
      <w:r w:rsidRPr="00AB74EF">
        <w:rPr>
          <w:rFonts w:asciiTheme="majorHAnsi" w:hAnsiTheme="majorHAnsi"/>
        </w:rPr>
        <w:t xml:space="preserve"> (et donc le revenu total distribué aux ménages).</w:t>
      </w:r>
    </w:p>
    <w:p w:rsidR="00AF0A12" w:rsidRPr="00AB74EF" w:rsidRDefault="00AF0A12" w:rsidP="003D1F98">
      <w:pPr>
        <w:pStyle w:val="BodyTextIndent"/>
        <w:numPr>
          <w:ilvl w:val="0"/>
          <w:numId w:val="30"/>
        </w:numPr>
        <w:shd w:val="clear" w:color="auto" w:fill="FABF8F" w:themeFill="accent6" w:themeFillTint="99"/>
        <w:ind w:right="-1"/>
        <w:rPr>
          <w:rFonts w:asciiTheme="majorHAnsi" w:hAnsiTheme="majorHAnsi"/>
        </w:rPr>
      </w:pPr>
      <w:r w:rsidRPr="00AB74EF">
        <w:rPr>
          <w:rFonts w:asciiTheme="majorHAnsi" w:hAnsiTheme="majorHAnsi"/>
        </w:rPr>
        <w:t xml:space="preserve">Les entreprises investissent, pour pouvoir maintenir ou augmenter leur production de période en période : l’investissement est fixé en début de période, après évaluation par les entreprises de leurs perspectives de croissance, et du coût de l’investissement (qui dépend du taux d’intérêt en vigueur sur le marché des capitaux). </w:t>
      </w:r>
    </w:p>
    <w:p w:rsidR="00AF0A12" w:rsidRPr="00AB74EF" w:rsidRDefault="00AF0A12" w:rsidP="003D1F98">
      <w:pPr>
        <w:pStyle w:val="BodyTextIndent"/>
        <w:numPr>
          <w:ilvl w:val="0"/>
          <w:numId w:val="31"/>
        </w:numPr>
        <w:shd w:val="clear" w:color="auto" w:fill="FABF8F" w:themeFill="accent6" w:themeFillTint="99"/>
        <w:tabs>
          <w:tab w:val="clear" w:pos="1144"/>
          <w:tab w:val="num" w:pos="435"/>
        </w:tabs>
        <w:ind w:left="435" w:right="-1"/>
        <w:rPr>
          <w:rFonts w:asciiTheme="majorHAnsi" w:hAnsiTheme="majorHAnsi"/>
        </w:rPr>
      </w:pPr>
      <w:r w:rsidRPr="00AB74EF">
        <w:rPr>
          <w:rFonts w:asciiTheme="majorHAnsi" w:hAnsiTheme="majorHAnsi"/>
          <w:i/>
        </w:rPr>
        <w:t>Soit I</w:t>
      </w:r>
      <w:r w:rsidRPr="00AB74EF">
        <w:rPr>
          <w:rFonts w:asciiTheme="majorHAnsi" w:hAnsiTheme="majorHAnsi"/>
          <w:i/>
          <w:vertAlign w:val="subscript"/>
        </w:rPr>
        <w:t>o</w:t>
      </w:r>
      <w:r w:rsidRPr="00AB74EF">
        <w:rPr>
          <w:rFonts w:asciiTheme="majorHAnsi" w:hAnsiTheme="majorHAnsi"/>
          <w:i/>
        </w:rPr>
        <w:t xml:space="preserve"> la valeur de cet investissement « exogène »</w:t>
      </w:r>
      <w:r w:rsidRPr="00AB74EF">
        <w:rPr>
          <w:rFonts w:asciiTheme="majorHAnsi" w:hAnsiTheme="majorHAnsi"/>
        </w:rPr>
        <w:t xml:space="preserve"> (car ne dépendant pas directement du PIB de la période, Y</w:t>
      </w:r>
      <w:r w:rsidR="0051160D">
        <w:rPr>
          <w:rFonts w:asciiTheme="majorHAnsi" w:hAnsiTheme="majorHAnsi"/>
        </w:rPr>
        <w:t>, mais d’anticipations sur la demande à venir</w:t>
      </w:r>
      <w:r w:rsidRPr="00AB74EF">
        <w:rPr>
          <w:rFonts w:asciiTheme="majorHAnsi" w:hAnsiTheme="majorHAnsi"/>
        </w:rPr>
        <w:t>) en début de période.</w:t>
      </w:r>
    </w:p>
    <w:p w:rsidR="00AF0A12" w:rsidRPr="00AB74EF" w:rsidRDefault="00AF0A12" w:rsidP="00AF0A12">
      <w:pPr>
        <w:pStyle w:val="BodyTextIndent"/>
        <w:shd w:val="clear" w:color="auto" w:fill="FABF8F" w:themeFill="accent6" w:themeFillTint="99"/>
        <w:ind w:right="-1" w:firstLine="0"/>
        <w:rPr>
          <w:rFonts w:asciiTheme="majorHAnsi" w:hAnsiTheme="majorHAnsi"/>
        </w:rPr>
      </w:pPr>
    </w:p>
    <w:p w:rsidR="00AF0A12" w:rsidRPr="00AB74EF" w:rsidRDefault="00AF0A12" w:rsidP="003D1F98">
      <w:pPr>
        <w:pStyle w:val="BodyTextIndent"/>
        <w:numPr>
          <w:ilvl w:val="0"/>
          <w:numId w:val="29"/>
        </w:numPr>
        <w:shd w:val="clear" w:color="auto" w:fill="FABF8F" w:themeFill="accent6" w:themeFillTint="99"/>
        <w:ind w:right="-1"/>
        <w:rPr>
          <w:rFonts w:asciiTheme="majorHAnsi" w:hAnsiTheme="majorHAnsi"/>
        </w:rPr>
      </w:pPr>
      <w:r w:rsidRPr="00AB74EF">
        <w:rPr>
          <w:rFonts w:asciiTheme="majorHAnsi" w:hAnsiTheme="majorHAnsi"/>
          <w:b/>
          <w:i/>
        </w:rPr>
        <w:t>les ménages</w:t>
      </w:r>
      <w:r w:rsidRPr="00AB74EF">
        <w:rPr>
          <w:rFonts w:asciiTheme="majorHAnsi" w:hAnsiTheme="majorHAnsi"/>
        </w:rPr>
        <w:t xml:space="preserve">, dont la fonction principale est de consommer : ils tirent leurs revenus de la vente de leur travail aux entreprises, et perçoivent un revenu primaire égal à la valeur de la production, Y, de la période. Comme il n’y a pas de prélèvement obligatoire d’aucune sorte, ce revenu primaire constitue aussi le revenu disponible des ménages, qui sera affecté d’une part à la consommation, d’autre part à </w:t>
      </w:r>
      <w:r w:rsidRPr="00AB74EF">
        <w:rPr>
          <w:rFonts w:asciiTheme="majorHAnsi" w:hAnsiTheme="majorHAnsi"/>
          <w:i/>
        </w:rPr>
        <w:t>l’épargne, désignée par E</w:t>
      </w:r>
      <w:r w:rsidRPr="00AB74EF">
        <w:rPr>
          <w:rFonts w:asciiTheme="majorHAnsi" w:hAnsiTheme="majorHAnsi"/>
        </w:rPr>
        <w:t>.</w:t>
      </w:r>
    </w:p>
    <w:p w:rsidR="00AF0A12" w:rsidRPr="00AB74EF" w:rsidRDefault="00AF0A12" w:rsidP="003D1F98">
      <w:pPr>
        <w:pStyle w:val="BodyTextIndent"/>
        <w:numPr>
          <w:ilvl w:val="0"/>
          <w:numId w:val="31"/>
        </w:numPr>
        <w:shd w:val="clear" w:color="auto" w:fill="FABF8F" w:themeFill="accent6" w:themeFillTint="99"/>
        <w:tabs>
          <w:tab w:val="clear" w:pos="1144"/>
          <w:tab w:val="num" w:pos="435"/>
        </w:tabs>
        <w:ind w:left="435" w:right="-1"/>
        <w:rPr>
          <w:rFonts w:asciiTheme="majorHAnsi" w:hAnsiTheme="majorHAnsi"/>
        </w:rPr>
      </w:pPr>
      <w:r w:rsidRPr="00AB74EF">
        <w:rPr>
          <w:rFonts w:asciiTheme="majorHAnsi" w:hAnsiTheme="majorHAnsi"/>
          <w:i/>
        </w:rPr>
        <w:t>La consommation des ménages est désignée par C</w:t>
      </w:r>
      <w:r w:rsidRPr="00AB74EF">
        <w:rPr>
          <w:rFonts w:asciiTheme="majorHAnsi" w:hAnsiTheme="majorHAnsi"/>
        </w:rPr>
        <w:t> : la majeure partie de leur demande de consommation dépend du niveau de leur revenu disponible (Y) et de leur propension marginale à consommer (p</w:t>
      </w:r>
      <w:r w:rsidRPr="00AB74EF">
        <w:rPr>
          <w:rFonts w:asciiTheme="majorHAnsi" w:hAnsiTheme="majorHAnsi"/>
          <w:vertAlign w:val="subscript"/>
        </w:rPr>
        <w:t>mc</w:t>
      </w:r>
      <w:r w:rsidRPr="00AB74EF">
        <w:rPr>
          <w:rFonts w:asciiTheme="majorHAnsi" w:hAnsiTheme="majorHAnsi"/>
        </w:rPr>
        <w:t>), l’autre partie est « exogène » (ou incompressible : C</w:t>
      </w:r>
      <w:r w:rsidRPr="00AB74EF">
        <w:rPr>
          <w:rFonts w:asciiTheme="majorHAnsi" w:hAnsiTheme="majorHAnsi"/>
          <w:vertAlign w:val="subscript"/>
        </w:rPr>
        <w:t>o</w:t>
      </w:r>
      <w:r w:rsidRPr="00AB74EF">
        <w:rPr>
          <w:rFonts w:asciiTheme="majorHAnsi" w:hAnsiTheme="majorHAnsi"/>
        </w:rPr>
        <w:t xml:space="preserve">). La fonction de consommation des ménages est de la forme : </w:t>
      </w:r>
    </w:p>
    <w:p w:rsidR="00AF0A12" w:rsidRPr="00AB74EF" w:rsidRDefault="00AF0A12" w:rsidP="00AF0A12">
      <w:pPr>
        <w:pStyle w:val="BodyTextIndent"/>
        <w:shd w:val="clear" w:color="auto" w:fill="FABF8F" w:themeFill="accent6" w:themeFillTint="99"/>
        <w:ind w:right="-1" w:firstLine="0"/>
        <w:jc w:val="center"/>
        <w:rPr>
          <w:rFonts w:asciiTheme="majorHAnsi" w:hAnsiTheme="majorHAnsi"/>
          <w:b/>
        </w:rPr>
      </w:pPr>
      <w:r w:rsidRPr="00AB74EF">
        <w:rPr>
          <w:rFonts w:asciiTheme="majorHAnsi" w:hAnsiTheme="majorHAnsi"/>
          <w:b/>
        </w:rPr>
        <w:t>C = p</w:t>
      </w:r>
      <w:r w:rsidRPr="00AB74EF">
        <w:rPr>
          <w:rFonts w:asciiTheme="majorHAnsi" w:hAnsiTheme="majorHAnsi"/>
          <w:b/>
          <w:vertAlign w:val="subscript"/>
        </w:rPr>
        <w:t>mc</w:t>
      </w:r>
      <w:r w:rsidRPr="00AB74EF">
        <w:rPr>
          <w:rFonts w:asciiTheme="majorHAnsi" w:hAnsiTheme="majorHAnsi"/>
          <w:b/>
        </w:rPr>
        <w:t>*Y + C</w:t>
      </w:r>
      <w:r w:rsidRPr="00AB74EF">
        <w:rPr>
          <w:rFonts w:asciiTheme="majorHAnsi" w:hAnsiTheme="majorHAnsi"/>
          <w:b/>
          <w:vertAlign w:val="subscript"/>
        </w:rPr>
        <w:t>o</w:t>
      </w:r>
      <w:r w:rsidRPr="00AB74EF">
        <w:rPr>
          <w:rFonts w:asciiTheme="majorHAnsi" w:hAnsiTheme="majorHAnsi"/>
          <w:b/>
        </w:rPr>
        <w:t>.</w:t>
      </w:r>
    </w:p>
    <w:p w:rsidR="00AF0A12" w:rsidRPr="00AB74EF" w:rsidRDefault="00AF0A12" w:rsidP="00AF0A12">
      <w:pPr>
        <w:pStyle w:val="BodyTextIndent"/>
        <w:shd w:val="clear" w:color="auto" w:fill="FFFFFF" w:themeFill="background1"/>
        <w:ind w:right="-1" w:firstLine="0"/>
        <w:rPr>
          <w:rFonts w:asciiTheme="majorHAnsi" w:hAnsiTheme="majorHAnsi"/>
          <w:b/>
          <w:i/>
        </w:rPr>
      </w:pPr>
    </w:p>
    <w:p w:rsidR="00AF0A12" w:rsidRPr="00AB74EF" w:rsidRDefault="00AF0A12" w:rsidP="00AF0A12">
      <w:pPr>
        <w:pStyle w:val="BodyTextIndent"/>
        <w:ind w:right="-1" w:firstLine="0"/>
        <w:rPr>
          <w:rFonts w:asciiTheme="majorHAnsi" w:hAnsiTheme="majorHAnsi"/>
          <w:b/>
        </w:rPr>
      </w:pPr>
      <w:r w:rsidRPr="00AB74EF">
        <w:rPr>
          <w:rFonts w:asciiTheme="majorHAnsi" w:hAnsiTheme="majorHAnsi"/>
          <w:b/>
        </w:rPr>
        <w:t>Première partie : L’équilibre dans la sphère réelle.</w:t>
      </w:r>
    </w:p>
    <w:p w:rsidR="00AF0A12" w:rsidRPr="00AB74EF" w:rsidRDefault="00AF0A12" w:rsidP="00AF0A12">
      <w:pPr>
        <w:pStyle w:val="BodyTextIndent"/>
        <w:ind w:right="-1" w:firstLine="0"/>
        <w:rPr>
          <w:rFonts w:asciiTheme="majorHAnsi" w:hAnsiTheme="majorHAnsi"/>
          <w:b/>
        </w:rPr>
      </w:pPr>
    </w:p>
    <w:p w:rsidR="00887427" w:rsidRPr="00887427" w:rsidRDefault="00AF0A12" w:rsidP="003D1F98">
      <w:pPr>
        <w:pStyle w:val="BodyTextIndent"/>
        <w:numPr>
          <w:ilvl w:val="0"/>
          <w:numId w:val="32"/>
        </w:numPr>
        <w:shd w:val="clear" w:color="auto" w:fill="FABF8F" w:themeFill="accent6" w:themeFillTint="99"/>
        <w:ind w:left="357" w:right="-1" w:hanging="357"/>
        <w:rPr>
          <w:rFonts w:asciiTheme="majorHAnsi" w:hAnsiTheme="majorHAnsi"/>
          <w:i/>
        </w:rPr>
      </w:pPr>
      <w:r w:rsidRPr="00AF0A12">
        <w:rPr>
          <w:rFonts w:asciiTheme="majorHAnsi" w:hAnsiTheme="majorHAnsi"/>
          <w:i/>
        </w:rPr>
        <w:t>La propension marginale à consommer des ménages est égale à 0,8 : expliquez ce que signifie cette valeur.</w:t>
      </w:r>
    </w:p>
    <w:p w:rsidR="00AF0A12" w:rsidRDefault="00AF0A12" w:rsidP="00AF0A12">
      <w:pPr>
        <w:pStyle w:val="BodyTextIndent"/>
        <w:ind w:left="357" w:right="-1" w:firstLine="0"/>
        <w:rPr>
          <w:rFonts w:asciiTheme="majorHAnsi" w:hAnsiTheme="majorHAnsi"/>
        </w:rPr>
      </w:pPr>
      <w:r>
        <w:rPr>
          <w:rFonts w:asciiTheme="majorHAnsi" w:hAnsiTheme="majorHAnsi"/>
        </w:rPr>
        <w:t xml:space="preserve">Cela signifie que si le revenu des ménages augmente de 100 </w:t>
      </w:r>
      <w:r w:rsidR="00D872BC">
        <w:rPr>
          <w:rFonts w:asciiTheme="majorHAnsi" w:hAnsiTheme="majorHAnsi"/>
        </w:rPr>
        <w:t>€</w:t>
      </w:r>
      <w:r>
        <w:rPr>
          <w:rFonts w:asciiTheme="majorHAnsi" w:hAnsiTheme="majorHAnsi"/>
        </w:rPr>
        <w:t xml:space="preserve">, la </w:t>
      </w:r>
      <w:r w:rsidR="0051160D">
        <w:rPr>
          <w:rFonts w:asciiTheme="majorHAnsi" w:hAnsiTheme="majorHAnsi"/>
        </w:rPr>
        <w:t xml:space="preserve">demande de </w:t>
      </w:r>
      <w:r>
        <w:rPr>
          <w:rFonts w:asciiTheme="majorHAnsi" w:hAnsiTheme="majorHAnsi"/>
        </w:rPr>
        <w:t xml:space="preserve">consommation des ménages augmentera de 80 </w:t>
      </w:r>
      <w:r w:rsidR="00D872BC">
        <w:rPr>
          <w:rFonts w:asciiTheme="majorHAnsi" w:hAnsiTheme="majorHAnsi"/>
        </w:rPr>
        <w:t>€</w:t>
      </w:r>
      <w:r>
        <w:rPr>
          <w:rFonts w:asciiTheme="majorHAnsi" w:hAnsiTheme="majorHAnsi"/>
        </w:rPr>
        <w:t xml:space="preserve">. </w:t>
      </w:r>
    </w:p>
    <w:p w:rsidR="00887427" w:rsidRPr="00AB74EF" w:rsidRDefault="00887427" w:rsidP="00AF0A12">
      <w:pPr>
        <w:pStyle w:val="BodyTextIndent"/>
        <w:ind w:left="357" w:right="-1" w:firstLine="0"/>
        <w:rPr>
          <w:rFonts w:asciiTheme="majorHAnsi" w:hAnsiTheme="majorHAnsi"/>
        </w:rPr>
      </w:pPr>
    </w:p>
    <w:p w:rsidR="00AF0A12" w:rsidRDefault="00AF0A12" w:rsidP="003D1F98">
      <w:pPr>
        <w:pStyle w:val="BodyTextIndent"/>
        <w:numPr>
          <w:ilvl w:val="0"/>
          <w:numId w:val="32"/>
        </w:numPr>
        <w:shd w:val="clear" w:color="auto" w:fill="FABF8F" w:themeFill="accent6" w:themeFillTint="99"/>
        <w:ind w:left="357" w:right="-1" w:hanging="357"/>
        <w:rPr>
          <w:rFonts w:asciiTheme="majorHAnsi" w:hAnsiTheme="majorHAnsi"/>
          <w:i/>
        </w:rPr>
      </w:pPr>
      <w:r w:rsidRPr="00AF0A12">
        <w:rPr>
          <w:rFonts w:asciiTheme="majorHAnsi" w:hAnsiTheme="majorHAnsi"/>
          <w:i/>
        </w:rPr>
        <w:t>Si la consommation exogène est de 30 milliards d’euros, quelle est la forme de la fonction de consommation concrète des ménages de cette économie ?</w:t>
      </w:r>
    </w:p>
    <w:p w:rsidR="00AF0A12" w:rsidRDefault="00AF0A12" w:rsidP="00AF0A12">
      <w:pPr>
        <w:pStyle w:val="BodyTextIndent"/>
        <w:ind w:left="357" w:right="-1" w:firstLine="0"/>
        <w:rPr>
          <w:rFonts w:asciiTheme="majorHAnsi" w:hAnsiTheme="majorHAnsi"/>
        </w:rPr>
      </w:pPr>
      <w:r>
        <w:rPr>
          <w:rFonts w:asciiTheme="majorHAnsi" w:hAnsiTheme="majorHAnsi"/>
        </w:rPr>
        <w:t>La   fonction de consommation est de la forme : C = 0,8*Y + 30 (linéaire).</w:t>
      </w:r>
    </w:p>
    <w:p w:rsidR="00887427" w:rsidRPr="00AF0A12" w:rsidRDefault="00887427" w:rsidP="00AF0A12">
      <w:pPr>
        <w:pStyle w:val="BodyTextIndent"/>
        <w:ind w:left="357" w:right="-1" w:firstLine="0"/>
        <w:rPr>
          <w:rFonts w:asciiTheme="majorHAnsi" w:hAnsiTheme="majorHAnsi"/>
        </w:rPr>
      </w:pPr>
    </w:p>
    <w:p w:rsidR="00AF0A12" w:rsidRDefault="00AF0A12" w:rsidP="003D1F98">
      <w:pPr>
        <w:pStyle w:val="BodyTextIndent"/>
        <w:numPr>
          <w:ilvl w:val="0"/>
          <w:numId w:val="32"/>
        </w:numPr>
        <w:shd w:val="clear" w:color="auto" w:fill="FABF8F" w:themeFill="accent6" w:themeFillTint="99"/>
        <w:ind w:left="357" w:right="-1" w:hanging="357"/>
        <w:rPr>
          <w:rFonts w:asciiTheme="majorHAnsi" w:hAnsiTheme="majorHAnsi"/>
          <w:i/>
        </w:rPr>
      </w:pPr>
      <w:r w:rsidRPr="00AF0A12">
        <w:rPr>
          <w:rFonts w:asciiTheme="majorHAnsi" w:hAnsiTheme="majorHAnsi"/>
          <w:i/>
        </w:rPr>
        <w:t>Puisque ces ménages consacrent leur revenu disponible (ici Y) à deux usages (consommation</w:t>
      </w:r>
      <w:r w:rsidR="0051160D">
        <w:rPr>
          <w:rFonts w:asciiTheme="majorHAnsi" w:hAnsiTheme="majorHAnsi"/>
          <w:i/>
        </w:rPr>
        <w:t xml:space="preserve"> C</w:t>
      </w:r>
      <w:r w:rsidRPr="00AF0A12">
        <w:rPr>
          <w:rFonts w:asciiTheme="majorHAnsi" w:hAnsiTheme="majorHAnsi"/>
          <w:i/>
        </w:rPr>
        <w:t xml:space="preserve"> et épargne</w:t>
      </w:r>
      <w:r w:rsidR="0051160D">
        <w:rPr>
          <w:rFonts w:asciiTheme="majorHAnsi" w:hAnsiTheme="majorHAnsi"/>
          <w:i/>
        </w:rPr>
        <w:t xml:space="preserve"> E</w:t>
      </w:r>
      <w:r w:rsidRPr="00AF0A12">
        <w:rPr>
          <w:rFonts w:asciiTheme="majorHAnsi" w:hAnsiTheme="majorHAnsi"/>
          <w:i/>
        </w:rPr>
        <w:t>), on a Y = C + E. Dans ce cas, quelle est la forme concrète de la fonction d’épargne des ménages ? Quelle est alors la valeur de la propension marginale à épargner ? Quelle est sa signification ?</w:t>
      </w:r>
    </w:p>
    <w:p w:rsidR="00AF0A12" w:rsidRDefault="0051160D" w:rsidP="00AF0A12">
      <w:pPr>
        <w:pStyle w:val="BodyTextIndent"/>
        <w:ind w:left="357" w:right="-1" w:firstLine="0"/>
        <w:rPr>
          <w:rFonts w:asciiTheme="majorHAnsi" w:hAnsiTheme="majorHAnsi"/>
        </w:rPr>
      </w:pPr>
      <w:r>
        <w:rPr>
          <w:rFonts w:asciiTheme="majorHAnsi" w:hAnsiTheme="majorHAnsi"/>
        </w:rPr>
        <w:t>Si Y + C + E</w:t>
      </w:r>
      <w:r w:rsidR="00AF0A12">
        <w:rPr>
          <w:rFonts w:asciiTheme="majorHAnsi" w:hAnsiTheme="majorHAnsi"/>
        </w:rPr>
        <w:t>, cela implique que E = Y – C  soit, en tenant compte de la forme de la fonction de consommation précédente : E = Y – 0,8*Y – 30  soit  E = Y*(1 – 0,8) – 30, d’où E = 0,2*Y – 30.</w:t>
      </w:r>
    </w:p>
    <w:p w:rsidR="00887427" w:rsidRPr="00AF0A12" w:rsidRDefault="00887427" w:rsidP="00AF0A12">
      <w:pPr>
        <w:pStyle w:val="BodyTextIndent"/>
        <w:ind w:left="357" w:right="-1" w:firstLine="0"/>
        <w:rPr>
          <w:rFonts w:asciiTheme="majorHAnsi" w:hAnsiTheme="majorHAnsi"/>
        </w:rPr>
      </w:pPr>
    </w:p>
    <w:p w:rsidR="00AF0A12" w:rsidRPr="00D872BC" w:rsidRDefault="00AF0A12" w:rsidP="003D1F98">
      <w:pPr>
        <w:pStyle w:val="BodyTextIndent"/>
        <w:numPr>
          <w:ilvl w:val="0"/>
          <w:numId w:val="32"/>
        </w:numPr>
        <w:shd w:val="clear" w:color="auto" w:fill="FABF8F" w:themeFill="accent6" w:themeFillTint="99"/>
        <w:ind w:left="357" w:right="-1" w:hanging="357"/>
        <w:rPr>
          <w:rFonts w:asciiTheme="majorHAnsi" w:hAnsiTheme="majorHAnsi"/>
          <w:i/>
        </w:rPr>
      </w:pPr>
      <w:r w:rsidRPr="00D872BC">
        <w:rPr>
          <w:rFonts w:asciiTheme="majorHAnsi" w:hAnsiTheme="majorHAnsi"/>
          <w:i/>
        </w:rPr>
        <w:t>L’économie est en équilibre, si l’offre de produits des entreprises (biens et services de consommation et d’investissement) est strictement égale à la demande en produits de tous les  agents économiques : exprimez cet équilibre sous la forme d’une équation, dont la seule variable sera Y, la production intérieure brute, sachant que l’investissement exogène des entreprises, I</w:t>
      </w:r>
      <w:r w:rsidRPr="00D872BC">
        <w:rPr>
          <w:rFonts w:asciiTheme="majorHAnsi" w:hAnsiTheme="majorHAnsi"/>
          <w:i/>
          <w:vertAlign w:val="subscript"/>
        </w:rPr>
        <w:t>o</w:t>
      </w:r>
      <w:r w:rsidRPr="00D872BC">
        <w:rPr>
          <w:rFonts w:asciiTheme="majorHAnsi" w:hAnsiTheme="majorHAnsi"/>
          <w:i/>
        </w:rPr>
        <w:t xml:space="preserve">, est de </w:t>
      </w:r>
      <w:r w:rsidR="00D872BC">
        <w:rPr>
          <w:rFonts w:asciiTheme="majorHAnsi" w:hAnsiTheme="majorHAnsi"/>
          <w:i/>
        </w:rPr>
        <w:t>35</w:t>
      </w:r>
      <w:r w:rsidRPr="00D872BC">
        <w:rPr>
          <w:rFonts w:asciiTheme="majorHAnsi" w:hAnsiTheme="majorHAnsi"/>
          <w:i/>
        </w:rPr>
        <w:t>0 milliards d’euros.</w:t>
      </w:r>
    </w:p>
    <w:p w:rsidR="00D872BC" w:rsidRDefault="00D872BC" w:rsidP="00D872BC">
      <w:pPr>
        <w:pStyle w:val="BodyTextIndent"/>
        <w:ind w:left="357" w:right="-1" w:firstLine="0"/>
        <w:rPr>
          <w:rFonts w:asciiTheme="majorHAnsi" w:hAnsiTheme="majorHAnsi"/>
        </w:rPr>
      </w:pPr>
      <w:r>
        <w:rPr>
          <w:rFonts w:asciiTheme="majorHAnsi" w:hAnsiTheme="majorHAnsi"/>
        </w:rPr>
        <w:t>Offre = Demande entraîne : Y =</w:t>
      </w:r>
      <w:r w:rsidR="00407F6F">
        <w:rPr>
          <w:rFonts w:asciiTheme="majorHAnsi" w:hAnsiTheme="majorHAnsi"/>
        </w:rPr>
        <w:t xml:space="preserve"> C + I soit  Y = 0,8*Y + 30 + 350 ou encore Y = 0,8*Y + 38</w:t>
      </w:r>
      <w:r>
        <w:rPr>
          <w:rFonts w:asciiTheme="majorHAnsi" w:hAnsiTheme="majorHAnsi"/>
        </w:rPr>
        <w:t>0.</w:t>
      </w:r>
    </w:p>
    <w:p w:rsidR="00887427" w:rsidRDefault="00887427" w:rsidP="00D872BC">
      <w:pPr>
        <w:pStyle w:val="BodyTextIndent"/>
        <w:ind w:left="357" w:right="-1" w:firstLine="0"/>
        <w:rPr>
          <w:rFonts w:asciiTheme="majorHAnsi" w:hAnsiTheme="majorHAnsi"/>
        </w:rPr>
      </w:pPr>
    </w:p>
    <w:p w:rsidR="00AF0A12" w:rsidRPr="00407F6F" w:rsidRDefault="00AF0A12" w:rsidP="003D1F98">
      <w:pPr>
        <w:pStyle w:val="BodyTextIndent"/>
        <w:numPr>
          <w:ilvl w:val="0"/>
          <w:numId w:val="32"/>
        </w:numPr>
        <w:shd w:val="clear" w:color="auto" w:fill="FABF8F" w:themeFill="accent6" w:themeFillTint="99"/>
        <w:ind w:left="357" w:right="-1" w:hanging="357"/>
        <w:rPr>
          <w:rFonts w:asciiTheme="majorHAnsi" w:hAnsiTheme="majorHAnsi"/>
          <w:i/>
        </w:rPr>
      </w:pPr>
      <w:r w:rsidRPr="00407F6F">
        <w:rPr>
          <w:rFonts w:asciiTheme="majorHAnsi" w:hAnsiTheme="majorHAnsi"/>
          <w:i/>
        </w:rPr>
        <w:t>Quelle est, dans cette économie, la valeur du PIB (Y) à l’équilibre ?</w:t>
      </w:r>
    </w:p>
    <w:p w:rsidR="00407F6F" w:rsidRDefault="00407F6F" w:rsidP="00407F6F">
      <w:pPr>
        <w:pStyle w:val="BodyTextIndent"/>
        <w:ind w:left="360" w:right="-1" w:firstLine="0"/>
        <w:rPr>
          <w:rFonts w:asciiTheme="majorHAnsi" w:hAnsiTheme="majorHAnsi"/>
        </w:rPr>
      </w:pPr>
      <w:r>
        <w:rPr>
          <w:rFonts w:asciiTheme="majorHAnsi" w:hAnsiTheme="majorHAnsi"/>
        </w:rPr>
        <w:t>A l’équilibre : Y – 0,8*Y = 380  soit  (1 – 0,8)*Y = 380  d’où Y = 1900 milliards d’€.</w:t>
      </w:r>
    </w:p>
    <w:p w:rsidR="00887427" w:rsidRDefault="00887427" w:rsidP="00407F6F">
      <w:pPr>
        <w:pStyle w:val="BodyTextIndent"/>
        <w:ind w:left="360" w:right="-1" w:firstLine="0"/>
        <w:rPr>
          <w:rFonts w:asciiTheme="majorHAnsi" w:hAnsiTheme="majorHAnsi"/>
        </w:rPr>
      </w:pPr>
    </w:p>
    <w:p w:rsidR="00AF0A12" w:rsidRPr="00AB74EF" w:rsidRDefault="00AF0A12" w:rsidP="003D1F98">
      <w:pPr>
        <w:pStyle w:val="BodyTextIndent"/>
        <w:numPr>
          <w:ilvl w:val="0"/>
          <w:numId w:val="32"/>
        </w:numPr>
        <w:shd w:val="clear" w:color="auto" w:fill="FABF8F" w:themeFill="accent6" w:themeFillTint="99"/>
        <w:ind w:right="-1"/>
        <w:rPr>
          <w:rFonts w:asciiTheme="majorHAnsi" w:hAnsiTheme="majorHAnsi"/>
        </w:rPr>
      </w:pPr>
      <w:r w:rsidRPr="00AB74EF">
        <w:rPr>
          <w:rFonts w:asciiTheme="majorHAnsi" w:hAnsiTheme="majorHAnsi"/>
        </w:rPr>
        <w:t>Calculez les valeurs de tous les aut</w:t>
      </w:r>
      <w:r w:rsidR="00730C34">
        <w:rPr>
          <w:rFonts w:asciiTheme="majorHAnsi" w:hAnsiTheme="majorHAnsi"/>
        </w:rPr>
        <w:t>res agrégats à l’équilibre (C, E</w:t>
      </w:r>
      <w:r w:rsidRPr="00AB74EF">
        <w:rPr>
          <w:rFonts w:asciiTheme="majorHAnsi" w:hAnsiTheme="majorHAnsi"/>
        </w:rPr>
        <w:t>).</w:t>
      </w:r>
    </w:p>
    <w:p w:rsidR="00407F6F" w:rsidRPr="00AB74EF" w:rsidRDefault="00407F6F" w:rsidP="00AF0A12">
      <w:pPr>
        <w:pStyle w:val="BodyTextIndent"/>
        <w:ind w:left="360" w:right="-1" w:firstLine="0"/>
        <w:rPr>
          <w:rFonts w:asciiTheme="majorHAnsi" w:hAnsiTheme="majorHAnsi"/>
        </w:rPr>
      </w:pPr>
      <w:r>
        <w:rPr>
          <w:rFonts w:asciiTheme="majorHAnsi" w:hAnsiTheme="majorHAnsi"/>
        </w:rPr>
        <w:t xml:space="preserve">Dans ce cas :  </w:t>
      </w:r>
    </w:p>
    <w:tbl>
      <w:tblPr>
        <w:tblW w:w="1588" w:type="dxa"/>
        <w:jc w:val="center"/>
        <w:tblInd w:w="65" w:type="dxa"/>
        <w:tblCellMar>
          <w:left w:w="70" w:type="dxa"/>
          <w:right w:w="70" w:type="dxa"/>
        </w:tblCellMar>
        <w:tblLook w:val="04A0"/>
      </w:tblPr>
      <w:tblGrid>
        <w:gridCol w:w="794"/>
        <w:gridCol w:w="794"/>
      </w:tblGrid>
      <w:tr w:rsidR="00407F6F" w:rsidRPr="00407F6F">
        <w:trPr>
          <w:trHeight w:val="227"/>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F6F" w:rsidRPr="00407F6F" w:rsidRDefault="00407F6F" w:rsidP="00407F6F">
            <w:pPr>
              <w:jc w:val="right"/>
              <w:rPr>
                <w:rFonts w:asciiTheme="majorHAnsi" w:hAnsiTheme="majorHAnsi"/>
                <w:color w:val="000000"/>
                <w:sz w:val="18"/>
                <w:szCs w:val="18"/>
              </w:rPr>
            </w:pPr>
            <w:r w:rsidRPr="00407F6F">
              <w:rPr>
                <w:rFonts w:asciiTheme="majorHAnsi" w:hAnsiTheme="majorHAnsi"/>
                <w:color w:val="000000"/>
                <w:sz w:val="18"/>
                <w:szCs w:val="18"/>
              </w:rPr>
              <w:t>Y</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407F6F" w:rsidRPr="00407F6F" w:rsidRDefault="00407F6F" w:rsidP="00407F6F">
            <w:pPr>
              <w:jc w:val="right"/>
              <w:rPr>
                <w:rFonts w:asciiTheme="majorHAnsi" w:hAnsiTheme="majorHAnsi"/>
                <w:color w:val="000000"/>
                <w:sz w:val="18"/>
                <w:szCs w:val="18"/>
              </w:rPr>
            </w:pPr>
            <w:r w:rsidRPr="00407F6F">
              <w:rPr>
                <w:rFonts w:asciiTheme="majorHAnsi" w:hAnsiTheme="majorHAnsi"/>
                <w:color w:val="000000"/>
                <w:sz w:val="18"/>
                <w:szCs w:val="18"/>
              </w:rPr>
              <w:t>1900</w:t>
            </w:r>
          </w:p>
        </w:tc>
      </w:tr>
      <w:tr w:rsidR="00407F6F" w:rsidRPr="00407F6F">
        <w:trPr>
          <w:trHeight w:val="227"/>
          <w:jc w:val="center"/>
        </w:trPr>
        <w:tc>
          <w:tcPr>
            <w:tcW w:w="794" w:type="dxa"/>
            <w:tcBorders>
              <w:top w:val="nil"/>
              <w:left w:val="single" w:sz="4" w:space="0" w:color="auto"/>
              <w:bottom w:val="single" w:sz="4" w:space="0" w:color="auto"/>
              <w:right w:val="single" w:sz="4" w:space="0" w:color="auto"/>
            </w:tcBorders>
            <w:shd w:val="clear" w:color="auto" w:fill="auto"/>
            <w:noWrap/>
            <w:vAlign w:val="bottom"/>
          </w:tcPr>
          <w:p w:rsidR="00407F6F" w:rsidRPr="00407F6F" w:rsidRDefault="00407F6F" w:rsidP="00407F6F">
            <w:pPr>
              <w:jc w:val="right"/>
              <w:rPr>
                <w:rFonts w:asciiTheme="majorHAnsi" w:hAnsiTheme="majorHAnsi"/>
                <w:color w:val="000000"/>
                <w:sz w:val="18"/>
                <w:szCs w:val="18"/>
              </w:rPr>
            </w:pPr>
            <w:r w:rsidRPr="00407F6F">
              <w:rPr>
                <w:rFonts w:asciiTheme="majorHAnsi" w:hAnsiTheme="majorHAnsi"/>
                <w:color w:val="000000"/>
                <w:sz w:val="18"/>
                <w:szCs w:val="18"/>
              </w:rPr>
              <w:t>C</w:t>
            </w:r>
          </w:p>
        </w:tc>
        <w:tc>
          <w:tcPr>
            <w:tcW w:w="794" w:type="dxa"/>
            <w:tcBorders>
              <w:top w:val="nil"/>
              <w:left w:val="nil"/>
              <w:bottom w:val="single" w:sz="4" w:space="0" w:color="auto"/>
              <w:right w:val="single" w:sz="4" w:space="0" w:color="auto"/>
            </w:tcBorders>
            <w:shd w:val="clear" w:color="auto" w:fill="auto"/>
            <w:noWrap/>
            <w:vAlign w:val="bottom"/>
          </w:tcPr>
          <w:p w:rsidR="00407F6F" w:rsidRPr="00407F6F" w:rsidRDefault="00407F6F" w:rsidP="00407F6F">
            <w:pPr>
              <w:jc w:val="right"/>
              <w:rPr>
                <w:rFonts w:asciiTheme="majorHAnsi" w:hAnsiTheme="majorHAnsi"/>
                <w:color w:val="000000"/>
                <w:sz w:val="18"/>
                <w:szCs w:val="18"/>
              </w:rPr>
            </w:pPr>
            <w:r w:rsidRPr="00407F6F">
              <w:rPr>
                <w:rFonts w:asciiTheme="majorHAnsi" w:hAnsiTheme="majorHAnsi"/>
                <w:color w:val="000000"/>
                <w:sz w:val="18"/>
                <w:szCs w:val="18"/>
              </w:rPr>
              <w:t>1550</w:t>
            </w:r>
          </w:p>
        </w:tc>
      </w:tr>
      <w:tr w:rsidR="00407F6F" w:rsidRPr="00407F6F">
        <w:trPr>
          <w:trHeight w:val="227"/>
          <w:jc w:val="center"/>
        </w:trPr>
        <w:tc>
          <w:tcPr>
            <w:tcW w:w="794" w:type="dxa"/>
            <w:tcBorders>
              <w:top w:val="nil"/>
              <w:left w:val="single" w:sz="4" w:space="0" w:color="auto"/>
              <w:bottom w:val="single" w:sz="4" w:space="0" w:color="auto"/>
              <w:right w:val="single" w:sz="4" w:space="0" w:color="auto"/>
            </w:tcBorders>
            <w:shd w:val="clear" w:color="auto" w:fill="auto"/>
            <w:noWrap/>
            <w:vAlign w:val="bottom"/>
          </w:tcPr>
          <w:p w:rsidR="00407F6F" w:rsidRPr="00407F6F" w:rsidRDefault="00407F6F" w:rsidP="00407F6F">
            <w:pPr>
              <w:jc w:val="right"/>
              <w:rPr>
                <w:rFonts w:asciiTheme="majorHAnsi" w:hAnsiTheme="majorHAnsi"/>
                <w:color w:val="000000"/>
                <w:sz w:val="18"/>
                <w:szCs w:val="18"/>
              </w:rPr>
            </w:pPr>
            <w:r w:rsidRPr="00407F6F">
              <w:rPr>
                <w:rFonts w:asciiTheme="majorHAnsi" w:hAnsiTheme="majorHAnsi"/>
                <w:color w:val="000000"/>
                <w:sz w:val="18"/>
                <w:szCs w:val="18"/>
              </w:rPr>
              <w:t>E</w:t>
            </w:r>
          </w:p>
        </w:tc>
        <w:tc>
          <w:tcPr>
            <w:tcW w:w="794" w:type="dxa"/>
            <w:tcBorders>
              <w:top w:val="nil"/>
              <w:left w:val="nil"/>
              <w:bottom w:val="single" w:sz="4" w:space="0" w:color="auto"/>
              <w:right w:val="single" w:sz="4" w:space="0" w:color="auto"/>
            </w:tcBorders>
            <w:shd w:val="clear" w:color="auto" w:fill="auto"/>
            <w:noWrap/>
            <w:vAlign w:val="bottom"/>
          </w:tcPr>
          <w:p w:rsidR="00407F6F" w:rsidRPr="00407F6F" w:rsidRDefault="00407F6F" w:rsidP="00407F6F">
            <w:pPr>
              <w:jc w:val="right"/>
              <w:rPr>
                <w:rFonts w:asciiTheme="majorHAnsi" w:hAnsiTheme="majorHAnsi"/>
                <w:color w:val="000000"/>
                <w:sz w:val="18"/>
                <w:szCs w:val="18"/>
              </w:rPr>
            </w:pPr>
            <w:r w:rsidRPr="00407F6F">
              <w:rPr>
                <w:rFonts w:asciiTheme="majorHAnsi" w:hAnsiTheme="majorHAnsi"/>
                <w:color w:val="000000"/>
                <w:sz w:val="18"/>
                <w:szCs w:val="18"/>
              </w:rPr>
              <w:t>350</w:t>
            </w:r>
          </w:p>
        </w:tc>
      </w:tr>
      <w:tr w:rsidR="00407F6F" w:rsidRPr="00407F6F">
        <w:trPr>
          <w:trHeight w:val="227"/>
          <w:jc w:val="center"/>
        </w:trPr>
        <w:tc>
          <w:tcPr>
            <w:tcW w:w="794" w:type="dxa"/>
            <w:tcBorders>
              <w:top w:val="nil"/>
              <w:left w:val="single" w:sz="4" w:space="0" w:color="auto"/>
              <w:bottom w:val="single" w:sz="4" w:space="0" w:color="auto"/>
              <w:right w:val="single" w:sz="4" w:space="0" w:color="auto"/>
            </w:tcBorders>
            <w:shd w:val="clear" w:color="auto" w:fill="auto"/>
            <w:noWrap/>
            <w:vAlign w:val="bottom"/>
          </w:tcPr>
          <w:p w:rsidR="00407F6F" w:rsidRPr="00407F6F" w:rsidRDefault="00407F6F" w:rsidP="00407F6F">
            <w:pPr>
              <w:jc w:val="right"/>
              <w:rPr>
                <w:rFonts w:asciiTheme="majorHAnsi" w:hAnsiTheme="majorHAnsi"/>
                <w:color w:val="000000"/>
                <w:sz w:val="18"/>
                <w:szCs w:val="18"/>
              </w:rPr>
            </w:pPr>
            <w:r w:rsidRPr="00407F6F">
              <w:rPr>
                <w:rFonts w:asciiTheme="majorHAnsi" w:hAnsiTheme="majorHAnsi"/>
                <w:color w:val="000000"/>
                <w:sz w:val="18"/>
                <w:szCs w:val="18"/>
              </w:rPr>
              <w:t>I</w:t>
            </w:r>
          </w:p>
        </w:tc>
        <w:tc>
          <w:tcPr>
            <w:tcW w:w="794" w:type="dxa"/>
            <w:tcBorders>
              <w:top w:val="nil"/>
              <w:left w:val="nil"/>
              <w:bottom w:val="single" w:sz="4" w:space="0" w:color="auto"/>
              <w:right w:val="single" w:sz="4" w:space="0" w:color="auto"/>
            </w:tcBorders>
            <w:shd w:val="clear" w:color="auto" w:fill="auto"/>
            <w:noWrap/>
            <w:vAlign w:val="bottom"/>
          </w:tcPr>
          <w:p w:rsidR="00407F6F" w:rsidRPr="00407F6F" w:rsidRDefault="00407F6F" w:rsidP="00407F6F">
            <w:pPr>
              <w:jc w:val="right"/>
              <w:rPr>
                <w:rFonts w:asciiTheme="majorHAnsi" w:hAnsiTheme="majorHAnsi"/>
                <w:color w:val="000000"/>
                <w:sz w:val="18"/>
                <w:szCs w:val="18"/>
              </w:rPr>
            </w:pPr>
            <w:r w:rsidRPr="00407F6F">
              <w:rPr>
                <w:rFonts w:asciiTheme="majorHAnsi" w:hAnsiTheme="majorHAnsi"/>
                <w:color w:val="000000"/>
                <w:sz w:val="18"/>
                <w:szCs w:val="18"/>
              </w:rPr>
              <w:t>350</w:t>
            </w:r>
          </w:p>
        </w:tc>
      </w:tr>
    </w:tbl>
    <w:p w:rsidR="00AF0A12" w:rsidRPr="00AB74EF" w:rsidRDefault="00AF0A12" w:rsidP="00AF0A12">
      <w:pPr>
        <w:pStyle w:val="BodyTextIndent"/>
        <w:ind w:left="360" w:right="-1" w:firstLine="0"/>
        <w:rPr>
          <w:rFonts w:asciiTheme="majorHAnsi" w:hAnsiTheme="majorHAnsi"/>
        </w:rPr>
      </w:pPr>
    </w:p>
    <w:p w:rsidR="00AF0A12" w:rsidRPr="00AB74EF" w:rsidRDefault="00AF0A12" w:rsidP="00AF0A12">
      <w:pPr>
        <w:pStyle w:val="BodyTextIndent"/>
        <w:ind w:right="-1" w:firstLine="0"/>
        <w:rPr>
          <w:rFonts w:asciiTheme="majorHAnsi" w:hAnsiTheme="majorHAnsi"/>
          <w:b/>
        </w:rPr>
      </w:pPr>
      <w:r w:rsidRPr="00AB74EF">
        <w:rPr>
          <w:rFonts w:asciiTheme="majorHAnsi" w:hAnsiTheme="majorHAnsi"/>
          <w:b/>
        </w:rPr>
        <w:t>Deuxième partie : L’équilibre financier.</w:t>
      </w:r>
    </w:p>
    <w:p w:rsidR="00AF0A12" w:rsidRPr="00AB74EF" w:rsidRDefault="00AF0A12" w:rsidP="00AF0A12">
      <w:pPr>
        <w:pStyle w:val="BodyTextIndent"/>
        <w:ind w:right="-1" w:firstLine="0"/>
        <w:rPr>
          <w:rFonts w:asciiTheme="majorHAnsi" w:hAnsiTheme="majorHAnsi"/>
        </w:rPr>
      </w:pPr>
    </w:p>
    <w:p w:rsidR="00AF0A12" w:rsidRPr="00407F6F" w:rsidRDefault="00AF0A12" w:rsidP="003D1F98">
      <w:pPr>
        <w:pStyle w:val="BodyTextIndent"/>
        <w:numPr>
          <w:ilvl w:val="0"/>
          <w:numId w:val="33"/>
        </w:numPr>
        <w:shd w:val="clear" w:color="auto" w:fill="FABF8F" w:themeFill="accent6" w:themeFillTint="99"/>
        <w:ind w:left="357" w:right="-1" w:hanging="357"/>
        <w:rPr>
          <w:rFonts w:asciiTheme="majorHAnsi" w:hAnsiTheme="majorHAnsi"/>
          <w:i/>
        </w:rPr>
      </w:pPr>
      <w:r w:rsidRPr="00407F6F">
        <w:rPr>
          <w:rFonts w:asciiTheme="majorHAnsi" w:hAnsiTheme="majorHAnsi"/>
          <w:i/>
        </w:rPr>
        <w:t>Rappelez les deux égalités qui traduisent, d’une part l’équilibre offre/demande dans la sphère réelle, d’autre part le partage du revenu des ménages entre consommation et épargne.</w:t>
      </w:r>
    </w:p>
    <w:p w:rsidR="00407F6F" w:rsidRDefault="00407F6F" w:rsidP="00407F6F">
      <w:pPr>
        <w:pStyle w:val="BodyTextIndent"/>
        <w:ind w:left="357" w:right="-1" w:firstLine="0"/>
        <w:rPr>
          <w:rFonts w:asciiTheme="majorHAnsi" w:hAnsiTheme="majorHAnsi"/>
        </w:rPr>
      </w:pPr>
      <w:r>
        <w:rPr>
          <w:rFonts w:asciiTheme="majorHAnsi" w:hAnsiTheme="majorHAnsi"/>
        </w:rPr>
        <w:t>Equilibre dans la sphère réelle : Y = C + I</w:t>
      </w:r>
    </w:p>
    <w:p w:rsidR="00407F6F" w:rsidRDefault="00407F6F" w:rsidP="00407F6F">
      <w:pPr>
        <w:pStyle w:val="BodyTextIndent"/>
        <w:ind w:left="357" w:right="-1" w:firstLine="0"/>
        <w:rPr>
          <w:rFonts w:asciiTheme="majorHAnsi" w:hAnsiTheme="majorHAnsi"/>
        </w:rPr>
      </w:pPr>
      <w:r>
        <w:rPr>
          <w:rFonts w:asciiTheme="majorHAnsi" w:hAnsiTheme="majorHAnsi"/>
        </w:rPr>
        <w:t>Partage du revenu des ménages entre consommation et épargne : Y = C + E</w:t>
      </w:r>
    </w:p>
    <w:p w:rsidR="00887427" w:rsidRPr="00AB74EF" w:rsidRDefault="00887427" w:rsidP="00407F6F">
      <w:pPr>
        <w:pStyle w:val="BodyTextIndent"/>
        <w:ind w:left="357" w:right="-1" w:firstLine="0"/>
        <w:rPr>
          <w:rFonts w:asciiTheme="majorHAnsi" w:hAnsiTheme="majorHAnsi"/>
        </w:rPr>
      </w:pPr>
    </w:p>
    <w:p w:rsidR="00AF0A12" w:rsidRPr="00407F6F" w:rsidRDefault="00AF0A12" w:rsidP="003D1F98">
      <w:pPr>
        <w:pStyle w:val="BodyTextIndent"/>
        <w:numPr>
          <w:ilvl w:val="0"/>
          <w:numId w:val="33"/>
        </w:numPr>
        <w:shd w:val="clear" w:color="auto" w:fill="FABF8F" w:themeFill="accent6" w:themeFillTint="99"/>
        <w:ind w:right="-1"/>
        <w:rPr>
          <w:rFonts w:asciiTheme="majorHAnsi" w:hAnsiTheme="majorHAnsi"/>
          <w:i/>
        </w:rPr>
      </w:pPr>
      <w:r w:rsidRPr="00407F6F">
        <w:rPr>
          <w:rFonts w:asciiTheme="majorHAnsi" w:hAnsiTheme="majorHAnsi"/>
          <w:i/>
        </w:rPr>
        <w:t>Qu’en déduisez-vous en ce qui concerne l’équilibre financier de cette économie (besoins en financement = capacités de financement) ?</w:t>
      </w:r>
    </w:p>
    <w:p w:rsidR="00407F6F" w:rsidRDefault="00407F6F" w:rsidP="00407F6F">
      <w:pPr>
        <w:pStyle w:val="BodyTextIndent"/>
        <w:ind w:left="360" w:right="-1" w:firstLine="0"/>
        <w:rPr>
          <w:rFonts w:asciiTheme="majorHAnsi" w:hAnsiTheme="majorHAnsi"/>
        </w:rPr>
      </w:pPr>
      <w:r>
        <w:rPr>
          <w:rFonts w:asciiTheme="majorHAnsi" w:hAnsiTheme="majorHAnsi"/>
        </w:rPr>
        <w:t>A l’équilibre on a donc : C + I = C + E  d’où I = E.</w:t>
      </w:r>
    </w:p>
    <w:p w:rsidR="00407F6F" w:rsidRPr="00AB74EF" w:rsidRDefault="00407F6F" w:rsidP="00407F6F">
      <w:pPr>
        <w:pStyle w:val="BodyTextIndent"/>
        <w:ind w:left="360" w:right="-1" w:firstLine="0"/>
        <w:rPr>
          <w:rFonts w:asciiTheme="majorHAnsi" w:hAnsiTheme="majorHAnsi"/>
        </w:rPr>
      </w:pPr>
      <w:r>
        <w:rPr>
          <w:rFonts w:asciiTheme="majorHAnsi" w:hAnsiTheme="majorHAnsi"/>
        </w:rPr>
        <w:t>A l’équilibre, les besoins en financement des entreprises (I) sont égaux aux capacités de financement des ménages (E).</w:t>
      </w:r>
      <w:r w:rsidR="000E4AA7">
        <w:rPr>
          <w:rFonts w:asciiTheme="majorHAnsi" w:hAnsiTheme="majorHAnsi"/>
        </w:rPr>
        <w:t xml:space="preserve"> L’épargne des ménages est donc égale à l’investissement des entreprises.</w:t>
      </w:r>
    </w:p>
    <w:p w:rsidR="00AF0A12" w:rsidRDefault="00AF0A12" w:rsidP="00AF0A12">
      <w:pPr>
        <w:pStyle w:val="BodyTextIndent"/>
        <w:ind w:right="-1" w:firstLine="0"/>
        <w:rPr>
          <w:rFonts w:asciiTheme="majorHAnsi" w:hAnsiTheme="majorHAnsi"/>
        </w:rPr>
      </w:pPr>
    </w:p>
    <w:p w:rsidR="007E3A61" w:rsidRDefault="007E3A61" w:rsidP="00AF0A12">
      <w:pPr>
        <w:pStyle w:val="BodyTextIndent"/>
        <w:ind w:right="-1" w:firstLine="0"/>
        <w:rPr>
          <w:rFonts w:asciiTheme="majorHAnsi" w:hAnsiTheme="majorHAnsi"/>
        </w:rPr>
      </w:pPr>
    </w:p>
    <w:p w:rsidR="007E3A61" w:rsidRPr="00AB74EF" w:rsidRDefault="007E3A61" w:rsidP="00AF0A12">
      <w:pPr>
        <w:pStyle w:val="BodyTextIndent"/>
        <w:ind w:right="-1" w:firstLine="0"/>
        <w:rPr>
          <w:rFonts w:asciiTheme="majorHAnsi" w:hAnsiTheme="majorHAnsi"/>
        </w:rPr>
      </w:pPr>
    </w:p>
    <w:p w:rsidR="0059268B" w:rsidRDefault="0059268B" w:rsidP="0059268B">
      <w:pPr>
        <w:pStyle w:val="BodyTextIndent"/>
        <w:ind w:right="-1" w:firstLine="0"/>
        <w:jc w:val="center"/>
        <w:rPr>
          <w:rFonts w:asciiTheme="majorHAnsi" w:hAnsiTheme="majorHAnsi"/>
          <w:b/>
        </w:rPr>
      </w:pPr>
      <w:r w:rsidRPr="0059268B">
        <w:rPr>
          <w:rFonts w:asciiTheme="majorHAnsi" w:hAnsiTheme="majorHAnsi"/>
          <w:b/>
          <w:noProof/>
          <w:lang w:val="en-US" w:eastAsia="en-US"/>
        </w:rPr>
        <w:drawing>
          <wp:inline distT="0" distB="0" distL="0" distR="0">
            <wp:extent cx="5759450" cy="4260499"/>
            <wp:effectExtent l="19050" t="0" r="12700" b="6701"/>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268B" w:rsidRDefault="0059268B" w:rsidP="0059268B">
      <w:pPr>
        <w:pStyle w:val="BodyTextIndent"/>
        <w:ind w:right="-1" w:firstLine="0"/>
        <w:jc w:val="center"/>
        <w:rPr>
          <w:rFonts w:asciiTheme="majorHAnsi" w:hAnsiTheme="majorHAnsi"/>
          <w:b/>
        </w:rPr>
      </w:pPr>
    </w:p>
    <w:p w:rsidR="00AF0A12" w:rsidRPr="00AB74EF" w:rsidRDefault="00AF0A12" w:rsidP="0059268B">
      <w:pPr>
        <w:pStyle w:val="BodyTextIndent"/>
        <w:ind w:right="-1" w:firstLine="0"/>
        <w:jc w:val="center"/>
        <w:rPr>
          <w:rFonts w:asciiTheme="majorHAnsi" w:hAnsiTheme="majorHAnsi"/>
          <w:b/>
        </w:rPr>
      </w:pPr>
      <w:r w:rsidRPr="00AB74EF">
        <w:rPr>
          <w:rFonts w:asciiTheme="majorHAnsi" w:hAnsiTheme="majorHAnsi"/>
          <w:b/>
        </w:rPr>
        <w:t>Troisième partie : Variations autour de l’équilibre.</w:t>
      </w:r>
    </w:p>
    <w:p w:rsidR="00AF0A12" w:rsidRPr="00AB74EF" w:rsidRDefault="00AF0A12" w:rsidP="00AF0A12">
      <w:pPr>
        <w:pStyle w:val="BodyTextIndent"/>
        <w:ind w:right="-1" w:firstLine="0"/>
        <w:rPr>
          <w:rFonts w:asciiTheme="majorHAnsi" w:hAnsiTheme="majorHAnsi"/>
        </w:rPr>
      </w:pPr>
    </w:p>
    <w:p w:rsidR="00AF0A12" w:rsidRPr="00AB74EF" w:rsidRDefault="00AF0A12" w:rsidP="00AF0A12">
      <w:pPr>
        <w:pStyle w:val="BodyTextIndent"/>
        <w:ind w:right="-1" w:firstLine="0"/>
        <w:rPr>
          <w:rFonts w:asciiTheme="majorHAnsi" w:hAnsiTheme="majorHAnsi"/>
        </w:rPr>
      </w:pPr>
      <w:r w:rsidRPr="00AB74EF">
        <w:rPr>
          <w:rFonts w:asciiTheme="majorHAnsi" w:hAnsiTheme="majorHAnsi"/>
        </w:rPr>
        <w:t xml:space="preserve">Supposez maintenant que, à partir de la situation d’équilibre initial dans la sphère réelle, les entreprises décident d’augmenter leurs investissements exogènes de 15 milliards d’euros (= </w:t>
      </w:r>
      <w:r w:rsidRPr="00AB74EF">
        <w:rPr>
          <w:rFonts w:asciiTheme="majorHAnsi" w:hAnsiTheme="majorHAnsi"/>
        </w:rPr>
        <w:sym w:font="Symbol" w:char="F044"/>
      </w:r>
      <w:r w:rsidRPr="00AB74EF">
        <w:rPr>
          <w:rFonts w:asciiTheme="majorHAnsi" w:hAnsiTheme="majorHAnsi"/>
        </w:rPr>
        <w:t>I), toutes choses restant égales par ailleurs.</w:t>
      </w:r>
    </w:p>
    <w:p w:rsidR="00AF0A12" w:rsidRPr="00AB74EF" w:rsidRDefault="00AF0A12" w:rsidP="00AF0A12">
      <w:pPr>
        <w:pStyle w:val="BodyTextIndent"/>
        <w:ind w:right="-1" w:firstLine="0"/>
        <w:rPr>
          <w:rFonts w:asciiTheme="majorHAnsi" w:hAnsiTheme="majorHAnsi"/>
        </w:rPr>
      </w:pPr>
    </w:p>
    <w:p w:rsidR="00AF0A12" w:rsidRPr="000E4AA7" w:rsidRDefault="00AF0A12" w:rsidP="003D1F98">
      <w:pPr>
        <w:pStyle w:val="BodyTextIndent"/>
        <w:numPr>
          <w:ilvl w:val="0"/>
          <w:numId w:val="34"/>
        </w:numPr>
        <w:shd w:val="clear" w:color="auto" w:fill="FABF8F" w:themeFill="accent6" w:themeFillTint="99"/>
        <w:ind w:left="357" w:right="-1" w:hanging="357"/>
        <w:rPr>
          <w:rFonts w:asciiTheme="majorHAnsi" w:hAnsiTheme="majorHAnsi"/>
          <w:i/>
        </w:rPr>
      </w:pPr>
      <w:r w:rsidRPr="000E4AA7">
        <w:rPr>
          <w:rFonts w:asciiTheme="majorHAnsi" w:hAnsiTheme="majorHAnsi"/>
          <w:i/>
        </w:rPr>
        <w:t>Reformulez l’équation d’équilibre offre/demande en tenant compte de cette augmentation des investissements. Quelle est la nouvelle valeur du PIB, Y’, à l’équilibre ? De combien a-t-il augmenté en valeur ?</w:t>
      </w:r>
    </w:p>
    <w:p w:rsidR="00407F6F" w:rsidRDefault="00407F6F" w:rsidP="00407F6F">
      <w:pPr>
        <w:pStyle w:val="BodyTextIndent"/>
        <w:ind w:left="357" w:right="-1" w:firstLine="0"/>
        <w:rPr>
          <w:rFonts w:asciiTheme="majorHAnsi" w:hAnsiTheme="majorHAnsi"/>
        </w:rPr>
      </w:pPr>
      <w:r>
        <w:rPr>
          <w:rFonts w:asciiTheme="majorHAnsi" w:hAnsiTheme="majorHAnsi"/>
        </w:rPr>
        <w:t xml:space="preserve">A l’équilibre on a : </w:t>
      </w:r>
      <w:r w:rsidR="000E4AA7">
        <w:rPr>
          <w:rFonts w:asciiTheme="majorHAnsi" w:hAnsiTheme="majorHAnsi"/>
        </w:rPr>
        <w:t>Y = C + I  (offre globale = demande globale anticipée).</w:t>
      </w:r>
    </w:p>
    <w:p w:rsidR="000E4AA7" w:rsidRDefault="000E4AA7" w:rsidP="00407F6F">
      <w:pPr>
        <w:pStyle w:val="BodyTextIndent"/>
        <w:ind w:left="357" w:right="-1" w:firstLine="0"/>
        <w:rPr>
          <w:rFonts w:asciiTheme="majorHAnsi" w:hAnsiTheme="majorHAnsi"/>
        </w:rPr>
      </w:pPr>
      <w:r>
        <w:rPr>
          <w:rFonts w:asciiTheme="majorHAnsi" w:hAnsiTheme="majorHAnsi"/>
        </w:rPr>
        <w:t xml:space="preserve">Soit, si on tient compte de l’augmentation des investissements : </w:t>
      </w:r>
    </w:p>
    <w:p w:rsidR="000E4AA7" w:rsidRDefault="000E4AA7" w:rsidP="00407F6F">
      <w:pPr>
        <w:pStyle w:val="BodyTextIndent"/>
        <w:ind w:left="357" w:right="-1" w:firstLine="0"/>
        <w:rPr>
          <w:rFonts w:asciiTheme="majorHAnsi" w:hAnsiTheme="majorHAnsi"/>
        </w:rPr>
      </w:pPr>
      <w:r>
        <w:rPr>
          <w:rFonts w:asciiTheme="majorHAnsi" w:hAnsiTheme="majorHAnsi"/>
        </w:rPr>
        <w:t xml:space="preserve">Y’ = 0,8*Y’ + 30 + 350 + 15  </w:t>
      </w:r>
      <w:r>
        <w:rPr>
          <w:rFonts w:asciiTheme="majorHAnsi" w:hAnsiTheme="majorHAnsi"/>
        </w:rPr>
        <w:sym w:font="Symbol" w:char="F0DE"/>
      </w:r>
      <w:r>
        <w:rPr>
          <w:rFonts w:asciiTheme="majorHAnsi" w:hAnsiTheme="majorHAnsi"/>
        </w:rPr>
        <w:t xml:space="preserve">  Y’ = 0,8*Y’ + 395  </w:t>
      </w:r>
      <w:r>
        <w:rPr>
          <w:rFonts w:asciiTheme="majorHAnsi" w:hAnsiTheme="majorHAnsi"/>
        </w:rPr>
        <w:sym w:font="Symbol" w:char="F0DE"/>
      </w:r>
      <w:r>
        <w:rPr>
          <w:rFonts w:asciiTheme="majorHAnsi" w:hAnsiTheme="majorHAnsi"/>
        </w:rPr>
        <w:t xml:space="preserve">  Y’*(1 – 0,8) = 395  </w:t>
      </w:r>
      <w:r>
        <w:rPr>
          <w:rFonts w:asciiTheme="majorHAnsi" w:hAnsiTheme="majorHAnsi"/>
        </w:rPr>
        <w:sym w:font="Symbol" w:char="F0DE"/>
      </w:r>
      <w:r>
        <w:rPr>
          <w:rFonts w:asciiTheme="majorHAnsi" w:hAnsiTheme="majorHAnsi"/>
        </w:rPr>
        <w:t xml:space="preserve">  0,2*Y’ = 395  </w:t>
      </w:r>
      <w:r>
        <w:rPr>
          <w:rFonts w:asciiTheme="majorHAnsi" w:hAnsiTheme="majorHAnsi"/>
        </w:rPr>
        <w:sym w:font="Symbol" w:char="F0DE"/>
      </w:r>
      <w:r>
        <w:rPr>
          <w:rFonts w:asciiTheme="majorHAnsi" w:hAnsiTheme="majorHAnsi"/>
        </w:rPr>
        <w:t xml:space="preserve">  Y’ = 1975</w:t>
      </w:r>
    </w:p>
    <w:p w:rsidR="00887427" w:rsidRDefault="00887427" w:rsidP="00407F6F">
      <w:pPr>
        <w:pStyle w:val="BodyTextIndent"/>
        <w:ind w:left="357" w:right="-1" w:firstLine="0"/>
        <w:rPr>
          <w:rFonts w:asciiTheme="majorHAnsi" w:hAnsiTheme="majorHAnsi"/>
        </w:rPr>
      </w:pPr>
    </w:p>
    <w:p w:rsidR="00AF0A12" w:rsidRPr="00CF5C3C" w:rsidRDefault="00AF0A12" w:rsidP="003D1F98">
      <w:pPr>
        <w:pStyle w:val="BodyTextIndent"/>
        <w:numPr>
          <w:ilvl w:val="0"/>
          <w:numId w:val="34"/>
        </w:numPr>
        <w:shd w:val="clear" w:color="auto" w:fill="FABF8F" w:themeFill="accent6" w:themeFillTint="99"/>
        <w:ind w:left="357" w:right="-1" w:hanging="357"/>
        <w:rPr>
          <w:rFonts w:asciiTheme="majorHAnsi" w:hAnsiTheme="majorHAnsi"/>
          <w:i/>
        </w:rPr>
      </w:pPr>
      <w:r w:rsidRPr="00CF5C3C">
        <w:rPr>
          <w:rFonts w:asciiTheme="majorHAnsi" w:hAnsiTheme="majorHAnsi"/>
          <w:i/>
        </w:rPr>
        <w:t>Présentez cette équation d’équilibre dans le cas général (sans utiliser de valeurs, mais les agrégats Y’, C</w:t>
      </w:r>
      <w:r w:rsidRPr="00CF5C3C">
        <w:rPr>
          <w:rFonts w:asciiTheme="majorHAnsi" w:hAnsiTheme="majorHAnsi"/>
          <w:i/>
          <w:vertAlign w:val="subscript"/>
        </w:rPr>
        <w:t>o</w:t>
      </w:r>
      <w:r w:rsidRPr="00CF5C3C">
        <w:rPr>
          <w:rFonts w:asciiTheme="majorHAnsi" w:hAnsiTheme="majorHAnsi"/>
          <w:i/>
        </w:rPr>
        <w:t>, I</w:t>
      </w:r>
      <w:r w:rsidRPr="00CF5C3C">
        <w:rPr>
          <w:rFonts w:asciiTheme="majorHAnsi" w:hAnsiTheme="majorHAnsi"/>
          <w:i/>
          <w:vertAlign w:val="subscript"/>
        </w:rPr>
        <w:t>o</w:t>
      </w:r>
      <w:r w:rsidRPr="00CF5C3C">
        <w:rPr>
          <w:rFonts w:asciiTheme="majorHAnsi" w:hAnsiTheme="majorHAnsi"/>
          <w:i/>
        </w:rPr>
        <w:t xml:space="preserve">, </w:t>
      </w:r>
      <w:r w:rsidRPr="00CF5C3C">
        <w:rPr>
          <w:rFonts w:asciiTheme="majorHAnsi" w:hAnsiTheme="majorHAnsi"/>
          <w:i/>
        </w:rPr>
        <w:sym w:font="Symbol" w:char="F044"/>
      </w:r>
      <w:r w:rsidRPr="00CF5C3C">
        <w:rPr>
          <w:rFonts w:asciiTheme="majorHAnsi" w:hAnsiTheme="majorHAnsi"/>
          <w:i/>
        </w:rPr>
        <w:t>I, et le paramètre p</w:t>
      </w:r>
      <w:r w:rsidRPr="00CF5C3C">
        <w:rPr>
          <w:rFonts w:asciiTheme="majorHAnsi" w:hAnsiTheme="majorHAnsi"/>
          <w:i/>
          <w:vertAlign w:val="subscript"/>
        </w:rPr>
        <w:t>mc</w:t>
      </w:r>
      <w:r w:rsidRPr="00CF5C3C">
        <w:rPr>
          <w:rFonts w:asciiTheme="majorHAnsi" w:hAnsiTheme="majorHAnsi"/>
          <w:i/>
        </w:rPr>
        <w:t xml:space="preserve">). A quoi est égale l’augmentation du PIB due à l’augmentation des investissements de </w:t>
      </w:r>
      <w:r w:rsidRPr="00CF5C3C">
        <w:rPr>
          <w:rFonts w:asciiTheme="majorHAnsi" w:hAnsiTheme="majorHAnsi"/>
          <w:i/>
        </w:rPr>
        <w:sym w:font="Symbol" w:char="F044"/>
      </w:r>
      <w:r w:rsidRPr="00CF5C3C">
        <w:rPr>
          <w:rFonts w:asciiTheme="majorHAnsi" w:hAnsiTheme="majorHAnsi"/>
          <w:i/>
        </w:rPr>
        <w:t>I</w:t>
      </w:r>
      <w:r w:rsidR="00B36D8E">
        <w:rPr>
          <w:rFonts w:asciiTheme="majorHAnsi" w:hAnsiTheme="majorHAnsi"/>
          <w:i/>
        </w:rPr>
        <w:t> </w:t>
      </w:r>
      <w:r w:rsidRPr="00CF5C3C">
        <w:rPr>
          <w:rFonts w:asciiTheme="majorHAnsi" w:hAnsiTheme="majorHAnsi"/>
          <w:i/>
        </w:rPr>
        <w:t>?  Déduisez-en la valeur du coefficient multiplicateur. Interprétez.</w:t>
      </w:r>
    </w:p>
    <w:p w:rsidR="005065D9" w:rsidRPr="005065D9" w:rsidRDefault="000E4AA7" w:rsidP="000E4AA7">
      <w:pPr>
        <w:pStyle w:val="BodyTextIndent"/>
        <w:ind w:left="360" w:right="-1" w:firstLine="0"/>
        <w:rPr>
          <w:rFonts w:asciiTheme="majorHAnsi" w:hAnsiTheme="majorHAnsi"/>
          <w:lang w:val="en-US"/>
        </w:rPr>
      </w:pPr>
      <w:r w:rsidRPr="000E4AA7">
        <w:rPr>
          <w:rFonts w:asciiTheme="majorHAnsi" w:hAnsiTheme="majorHAnsi"/>
          <w:lang w:val="en-US"/>
        </w:rPr>
        <w:t>Y’ = p</w:t>
      </w:r>
      <w:r w:rsidRPr="000E4AA7">
        <w:rPr>
          <w:rFonts w:asciiTheme="majorHAnsi" w:hAnsiTheme="majorHAnsi"/>
          <w:vertAlign w:val="subscript"/>
          <w:lang w:val="en-US"/>
        </w:rPr>
        <w:t>mc</w:t>
      </w:r>
      <w:r w:rsidRPr="000E4AA7">
        <w:rPr>
          <w:rFonts w:asciiTheme="majorHAnsi" w:hAnsiTheme="majorHAnsi"/>
          <w:lang w:val="en-US"/>
        </w:rPr>
        <w:t>*Y’+ C</w:t>
      </w:r>
      <w:r w:rsidRPr="000E4AA7">
        <w:rPr>
          <w:rFonts w:asciiTheme="majorHAnsi" w:hAnsiTheme="majorHAnsi"/>
          <w:vertAlign w:val="subscript"/>
          <w:lang w:val="en-US"/>
        </w:rPr>
        <w:t>o</w:t>
      </w:r>
      <w:r w:rsidRPr="000E4AA7">
        <w:rPr>
          <w:rFonts w:asciiTheme="majorHAnsi" w:hAnsiTheme="majorHAnsi"/>
          <w:lang w:val="en-US"/>
        </w:rPr>
        <w:t xml:space="preserve"> + I</w:t>
      </w:r>
      <w:r w:rsidRPr="000E4AA7">
        <w:rPr>
          <w:rFonts w:asciiTheme="majorHAnsi" w:hAnsiTheme="majorHAnsi"/>
          <w:vertAlign w:val="subscript"/>
          <w:lang w:val="en-US"/>
        </w:rPr>
        <w:t>o</w:t>
      </w:r>
      <w:r w:rsidRPr="000E4AA7">
        <w:rPr>
          <w:rFonts w:asciiTheme="majorHAnsi" w:hAnsiTheme="majorHAnsi"/>
          <w:lang w:val="en-US"/>
        </w:rPr>
        <w:t xml:space="preserve"> + </w:t>
      </w:r>
      <w:r>
        <w:rPr>
          <w:rFonts w:asciiTheme="majorHAnsi" w:hAnsiTheme="majorHAnsi"/>
        </w:rPr>
        <w:sym w:font="Symbol" w:char="F044"/>
      </w:r>
      <w:r w:rsidRPr="000E4AA7">
        <w:rPr>
          <w:rFonts w:asciiTheme="majorHAnsi" w:hAnsiTheme="majorHAnsi"/>
          <w:lang w:val="en-US"/>
        </w:rPr>
        <w:t>I</w:t>
      </w:r>
      <w:r w:rsidR="005065D9">
        <w:rPr>
          <w:rFonts w:asciiTheme="majorHAnsi" w:hAnsiTheme="majorHAnsi"/>
          <w:lang w:val="en-US"/>
        </w:rPr>
        <w:t xml:space="preserve">  </w:t>
      </w:r>
      <w:r w:rsidR="005065D9">
        <w:rPr>
          <w:rFonts w:asciiTheme="majorHAnsi" w:hAnsiTheme="majorHAnsi"/>
        </w:rPr>
        <w:sym w:font="Symbol" w:char="F0DE"/>
      </w:r>
      <w:r w:rsidR="005065D9" w:rsidRPr="005065D9">
        <w:rPr>
          <w:rFonts w:asciiTheme="majorHAnsi" w:hAnsiTheme="majorHAnsi"/>
          <w:lang w:val="en-US"/>
        </w:rPr>
        <w:t xml:space="preserve">  Y’*(1 – p</w:t>
      </w:r>
      <w:r w:rsidR="005065D9" w:rsidRPr="005065D9">
        <w:rPr>
          <w:rFonts w:asciiTheme="majorHAnsi" w:hAnsiTheme="majorHAnsi"/>
          <w:vertAlign w:val="subscript"/>
          <w:lang w:val="en-US"/>
        </w:rPr>
        <w:t>mc</w:t>
      </w:r>
      <w:r w:rsidR="005065D9" w:rsidRPr="005065D9">
        <w:rPr>
          <w:rFonts w:asciiTheme="majorHAnsi" w:hAnsiTheme="majorHAnsi"/>
          <w:lang w:val="en-US"/>
        </w:rPr>
        <w:t xml:space="preserve">) = </w:t>
      </w:r>
      <w:r w:rsidR="005065D9" w:rsidRPr="000E4AA7">
        <w:rPr>
          <w:rFonts w:asciiTheme="majorHAnsi" w:hAnsiTheme="majorHAnsi"/>
          <w:lang w:val="en-US"/>
        </w:rPr>
        <w:t>C</w:t>
      </w:r>
      <w:r w:rsidR="005065D9" w:rsidRPr="000E4AA7">
        <w:rPr>
          <w:rFonts w:asciiTheme="majorHAnsi" w:hAnsiTheme="majorHAnsi"/>
          <w:vertAlign w:val="subscript"/>
          <w:lang w:val="en-US"/>
        </w:rPr>
        <w:t>o</w:t>
      </w:r>
      <w:r w:rsidR="005065D9" w:rsidRPr="000E4AA7">
        <w:rPr>
          <w:rFonts w:asciiTheme="majorHAnsi" w:hAnsiTheme="majorHAnsi"/>
          <w:lang w:val="en-US"/>
        </w:rPr>
        <w:t xml:space="preserve"> + I</w:t>
      </w:r>
      <w:r w:rsidR="005065D9" w:rsidRPr="000E4AA7">
        <w:rPr>
          <w:rFonts w:asciiTheme="majorHAnsi" w:hAnsiTheme="majorHAnsi"/>
          <w:vertAlign w:val="subscript"/>
          <w:lang w:val="en-US"/>
        </w:rPr>
        <w:t>o</w:t>
      </w:r>
      <w:r w:rsidR="005065D9" w:rsidRPr="000E4AA7">
        <w:rPr>
          <w:rFonts w:asciiTheme="majorHAnsi" w:hAnsiTheme="majorHAnsi"/>
          <w:lang w:val="en-US"/>
        </w:rPr>
        <w:t xml:space="preserve"> + </w:t>
      </w:r>
      <w:r w:rsidR="005065D9">
        <w:rPr>
          <w:rFonts w:asciiTheme="majorHAnsi" w:hAnsiTheme="majorHAnsi"/>
        </w:rPr>
        <w:sym w:font="Symbol" w:char="F044"/>
      </w:r>
      <w:r w:rsidR="005065D9" w:rsidRPr="000E4AA7">
        <w:rPr>
          <w:rFonts w:asciiTheme="majorHAnsi" w:hAnsiTheme="majorHAnsi"/>
          <w:lang w:val="en-US"/>
        </w:rPr>
        <w:t>I</w:t>
      </w:r>
      <w:r w:rsidR="005065D9">
        <w:rPr>
          <w:rFonts w:asciiTheme="majorHAnsi" w:hAnsiTheme="majorHAnsi"/>
          <w:lang w:val="en-US"/>
        </w:rPr>
        <w:t xml:space="preserve">  </w:t>
      </w:r>
      <w:r w:rsidR="005065D9">
        <w:rPr>
          <w:rFonts w:asciiTheme="majorHAnsi" w:hAnsiTheme="majorHAnsi"/>
        </w:rPr>
        <w:sym w:font="Symbol" w:char="F0DE"/>
      </w:r>
      <w:r w:rsidR="005065D9" w:rsidRPr="005065D9">
        <w:rPr>
          <w:rFonts w:asciiTheme="majorHAnsi" w:hAnsiTheme="majorHAnsi"/>
          <w:lang w:val="en-US"/>
        </w:rPr>
        <w:t xml:space="preserve">  Y’ = </w:t>
      </w:r>
      <m:oMath>
        <m:f>
          <m:fPr>
            <m:ctrlPr>
              <w:rPr>
                <w:rFonts w:ascii="Cambria Math" w:hAnsi="Cambria Math"/>
                <w:i/>
                <w:lang w:val="en-US"/>
              </w:rPr>
            </m:ctrlPr>
          </m:fPr>
          <m:num>
            <m:r>
              <m:rPr>
                <m:sty m:val="p"/>
              </m:rPr>
              <w:rPr>
                <w:rFonts w:ascii="Cambria Math" w:hAnsi="Cambria Math"/>
                <w:lang w:val="en-US"/>
              </w:rPr>
              <m:t>C</m:t>
            </m:r>
            <m:r>
              <m:rPr>
                <m:sty m:val="p"/>
              </m:rPr>
              <w:rPr>
                <w:rFonts w:ascii="Cambria Math" w:hAnsi="Cambria Math"/>
                <w:vertAlign w:val="subscript"/>
                <w:lang w:val="en-US"/>
              </w:rPr>
              <m:t>o</m:t>
            </m:r>
            <m:r>
              <m:rPr>
                <m:sty m:val="p"/>
              </m:rPr>
              <w:rPr>
                <w:rFonts w:ascii="Cambria Math" w:hAnsi="Cambria Math"/>
                <w:lang w:val="en-US"/>
              </w:rPr>
              <m:t xml:space="preserve"> + I</m:t>
            </m:r>
            <m:r>
              <m:rPr>
                <m:sty m:val="p"/>
              </m:rPr>
              <w:rPr>
                <w:rFonts w:ascii="Cambria Math" w:hAnsi="Cambria Math"/>
                <w:vertAlign w:val="subscript"/>
                <w:lang w:val="en-US"/>
              </w:rPr>
              <m:t>o</m:t>
            </m:r>
            <m:r>
              <m:rPr>
                <m:sty m:val="p"/>
              </m:rPr>
              <w:rPr>
                <w:rFonts w:ascii="Cambria Math" w:hAnsi="Cambria Math"/>
                <w:lang w:val="en-US"/>
              </w:rPr>
              <m:t xml:space="preserve"> + </m:t>
            </m:r>
            <m:r>
              <m:rPr>
                <m:sty m:val="p"/>
              </m:rPr>
              <w:rPr>
                <w:rFonts w:ascii="Cambria Math" w:hAnsi="Cambria Math"/>
              </w:rPr>
              <w:sym w:font="Symbol" w:char="F044"/>
            </m:r>
            <m:r>
              <m:rPr>
                <m:sty m:val="p"/>
              </m:rPr>
              <w:rPr>
                <w:rFonts w:ascii="Cambria Math" w:hAnsi="Cambria Math"/>
                <w:lang w:val="en-US"/>
              </w:rPr>
              <m:t xml:space="preserve">I  </m:t>
            </m:r>
          </m:num>
          <m:den>
            <m:d>
              <m:dPr>
                <m:ctrlPr>
                  <w:rPr>
                    <w:rFonts w:ascii="Cambria Math" w:hAnsi="Cambria Math"/>
                    <w:lang w:val="en-US"/>
                  </w:rPr>
                </m:ctrlPr>
              </m:dPr>
              <m:e>
                <m:r>
                  <m:rPr>
                    <m:sty m:val="p"/>
                  </m:rPr>
                  <w:rPr>
                    <w:rFonts w:ascii="Cambria Math" w:hAnsi="Cambria Math"/>
                    <w:lang w:val="en-US"/>
                  </w:rPr>
                  <m:t>1 – p</m:t>
                </m:r>
                <m:r>
                  <m:rPr>
                    <m:sty m:val="p"/>
                  </m:rPr>
                  <w:rPr>
                    <w:rFonts w:ascii="Cambria Math" w:hAnsi="Cambria Math"/>
                    <w:vertAlign w:val="subscript"/>
                    <w:lang w:val="en-US"/>
                  </w:rPr>
                  <m:t>mc</m:t>
                </m:r>
              </m:e>
            </m:d>
          </m:den>
        </m:f>
        <m:r>
          <w:rPr>
            <w:rFonts w:ascii="Cambria Math" w:hAnsi="Cambria Math"/>
            <w:lang w:val="en-US"/>
          </w:rPr>
          <m:t>=</m:t>
        </m:r>
        <m:f>
          <m:fPr>
            <m:ctrlPr>
              <w:rPr>
                <w:rFonts w:ascii="Cambria Math" w:hAnsi="Cambria Math"/>
                <w:i/>
                <w:lang w:val="en-US"/>
              </w:rPr>
            </m:ctrlPr>
          </m:fPr>
          <m:num>
            <m:r>
              <m:rPr>
                <m:sty m:val="p"/>
              </m:rPr>
              <w:rPr>
                <w:rFonts w:ascii="Cambria Math" w:hAnsi="Cambria Math"/>
                <w:lang w:val="en-US"/>
              </w:rPr>
              <m:t>C</m:t>
            </m:r>
            <m:r>
              <m:rPr>
                <m:sty m:val="p"/>
              </m:rPr>
              <w:rPr>
                <w:rFonts w:ascii="Cambria Math" w:hAnsi="Cambria Math"/>
                <w:vertAlign w:val="subscript"/>
                <w:lang w:val="en-US"/>
              </w:rPr>
              <m:t>o</m:t>
            </m:r>
            <m:r>
              <m:rPr>
                <m:sty m:val="p"/>
              </m:rPr>
              <w:rPr>
                <w:rFonts w:ascii="Cambria Math" w:hAnsi="Cambria Math"/>
                <w:lang w:val="en-US"/>
              </w:rPr>
              <m:t xml:space="preserve"> + I</m:t>
            </m:r>
            <m:r>
              <m:rPr>
                <m:sty m:val="p"/>
              </m:rPr>
              <w:rPr>
                <w:rFonts w:ascii="Cambria Math" w:hAnsi="Cambria Math"/>
                <w:vertAlign w:val="subscript"/>
                <w:lang w:val="en-US"/>
              </w:rPr>
              <m:t>o</m:t>
            </m:r>
          </m:num>
          <m:den>
            <m:d>
              <m:dPr>
                <m:ctrlPr>
                  <w:rPr>
                    <w:rFonts w:ascii="Cambria Math" w:hAnsi="Cambria Math"/>
                    <w:lang w:val="en-US"/>
                  </w:rPr>
                </m:ctrlPr>
              </m:dPr>
              <m:e>
                <m:r>
                  <m:rPr>
                    <m:sty m:val="p"/>
                  </m:rPr>
                  <w:rPr>
                    <w:rFonts w:ascii="Cambria Math" w:hAnsi="Cambria Math"/>
                    <w:lang w:val="en-US"/>
                  </w:rPr>
                  <m:t>1 – p</m:t>
                </m:r>
                <m:r>
                  <m:rPr>
                    <m:sty m:val="p"/>
                  </m:rPr>
                  <w:rPr>
                    <w:rFonts w:ascii="Cambria Math" w:hAnsi="Cambria Math"/>
                    <w:vertAlign w:val="subscript"/>
                    <w:lang w:val="en-US"/>
                  </w:rPr>
                  <m:t>mc</m:t>
                </m:r>
              </m:e>
            </m:d>
          </m:den>
        </m:f>
        <m:r>
          <w:rPr>
            <w:rFonts w:ascii="Cambria Math" w:hAnsi="Cambria Math"/>
            <w:lang w:val="en-US"/>
          </w:rPr>
          <m:t>+</m:t>
        </m:r>
        <m:f>
          <m:fPr>
            <m:ctrlPr>
              <w:rPr>
                <w:rFonts w:ascii="Cambria Math" w:hAnsi="Cambria Math"/>
                <w:i/>
                <w:lang w:val="en-US"/>
              </w:rPr>
            </m:ctrlPr>
          </m:fPr>
          <m:num>
            <m:r>
              <m:rPr>
                <m:sty m:val="p"/>
              </m:rPr>
              <w:rPr>
                <w:rFonts w:ascii="Cambria Math" w:hAnsi="Cambria Math"/>
              </w:rPr>
              <w:sym w:font="Symbol" w:char="F044"/>
            </m:r>
            <m:r>
              <m:rPr>
                <m:sty m:val="p"/>
              </m:rPr>
              <w:rPr>
                <w:rFonts w:ascii="Cambria Math" w:hAnsi="Cambria Math"/>
                <w:lang w:val="en-US"/>
              </w:rPr>
              <m:t>I</m:t>
            </m:r>
          </m:num>
          <m:den>
            <m:d>
              <m:dPr>
                <m:ctrlPr>
                  <w:rPr>
                    <w:rFonts w:ascii="Cambria Math" w:hAnsi="Cambria Math"/>
                    <w:lang w:val="en-US"/>
                  </w:rPr>
                </m:ctrlPr>
              </m:dPr>
              <m:e>
                <m:r>
                  <m:rPr>
                    <m:sty m:val="p"/>
                  </m:rPr>
                  <w:rPr>
                    <w:rFonts w:ascii="Cambria Math" w:hAnsi="Cambria Math"/>
                    <w:lang w:val="en-US"/>
                  </w:rPr>
                  <m:t>1 – p</m:t>
                </m:r>
                <m:r>
                  <m:rPr>
                    <m:sty m:val="p"/>
                  </m:rPr>
                  <w:rPr>
                    <w:rFonts w:ascii="Cambria Math" w:hAnsi="Cambria Math"/>
                    <w:vertAlign w:val="subscript"/>
                    <w:lang w:val="en-US"/>
                  </w:rPr>
                  <m:t>mc</m:t>
                </m:r>
              </m:e>
            </m:d>
          </m:den>
        </m:f>
      </m:oMath>
    </w:p>
    <w:p w:rsidR="000E4AA7" w:rsidRDefault="00E22497" w:rsidP="000E4AA7">
      <w:pPr>
        <w:pStyle w:val="BodyTextIndent"/>
        <w:ind w:left="360" w:right="-1" w:firstLine="0"/>
        <w:rPr>
          <w:rFonts w:asciiTheme="majorHAnsi" w:hAnsiTheme="majorHAnsi"/>
          <w:lang w:val="en-US"/>
        </w:rPr>
      </w:pPr>
      <m:oMathPara>
        <m:oMath>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m:t>
              </m:r>
            </m:sup>
          </m:sSup>
          <m:r>
            <w:rPr>
              <w:rFonts w:ascii="Cambria Math" w:hAnsi="Cambria Math"/>
              <w:lang w:val="en-US"/>
            </w:rPr>
            <m:t>= Y+</m:t>
          </m:r>
          <m:f>
            <m:fPr>
              <m:ctrlPr>
                <w:rPr>
                  <w:rFonts w:ascii="Cambria Math" w:hAnsi="Cambria Math"/>
                  <w:i/>
                  <w:lang w:val="en-US"/>
                </w:rPr>
              </m:ctrlPr>
            </m:fPr>
            <m:num>
              <m:r>
                <m:rPr>
                  <m:sty m:val="p"/>
                </m:rPr>
                <w:rPr>
                  <w:rFonts w:ascii="Cambria Math" w:hAnsi="Cambria Math"/>
                </w:rPr>
                <w:sym w:font="Symbol" w:char="F044"/>
              </m:r>
              <m:r>
                <m:rPr>
                  <m:sty m:val="p"/>
                </m:rPr>
                <w:rPr>
                  <w:rFonts w:ascii="Cambria Math" w:hAnsi="Cambria Math"/>
                  <w:lang w:val="en-US"/>
                </w:rPr>
                <m:t>I</m:t>
              </m:r>
            </m:num>
            <m:den>
              <m:r>
                <m:rPr>
                  <m:sty m:val="p"/>
                </m:rPr>
                <w:rPr>
                  <w:rFonts w:ascii="Cambria Math" w:hAnsi="Cambria Math"/>
                  <w:lang w:val="en-US"/>
                </w:rPr>
                <m:t>(1 – p</m:t>
              </m:r>
              <m:r>
                <m:rPr>
                  <m:sty m:val="p"/>
                </m:rPr>
                <w:rPr>
                  <w:rFonts w:ascii="Cambria Math" w:hAnsi="Cambria Math"/>
                  <w:vertAlign w:val="subscript"/>
                  <w:lang w:val="en-US"/>
                </w:rPr>
                <m:t>mc</m:t>
              </m:r>
              <m:r>
                <m:rPr>
                  <m:sty m:val="p"/>
                </m:rPr>
                <w:rPr>
                  <w:rFonts w:ascii="Cambria Math" w:hAnsi="Cambria Math"/>
                  <w:lang w:val="en-US"/>
                </w:rPr>
                <m:t>)</m:t>
              </m:r>
            </m:den>
          </m:f>
        </m:oMath>
      </m:oMathPara>
    </w:p>
    <w:p w:rsidR="005065D9" w:rsidRDefault="005065D9" w:rsidP="000E4AA7">
      <w:pPr>
        <w:pStyle w:val="BodyTextIndent"/>
        <w:ind w:left="360" w:right="-1" w:firstLine="0"/>
        <w:rPr>
          <w:rFonts w:asciiTheme="majorHAnsi" w:hAnsiTheme="majorHAnsi"/>
        </w:rPr>
      </w:pPr>
      <w:r w:rsidRPr="005065D9">
        <w:rPr>
          <w:rFonts w:asciiTheme="majorHAnsi" w:hAnsiTheme="majorHAnsi"/>
        </w:rPr>
        <w:t>L</w:t>
      </w:r>
      <w:r>
        <w:rPr>
          <w:rFonts w:asciiTheme="majorHAnsi" w:hAnsiTheme="majorHAnsi"/>
        </w:rPr>
        <w:t>’augmentation du PIB est donc égale à l’</w:t>
      </w:r>
      <w:r w:rsidRPr="005065D9">
        <w:rPr>
          <w:rFonts w:asciiTheme="majorHAnsi" w:hAnsiTheme="majorHAnsi"/>
        </w:rPr>
        <w:t>augmentation des investissements (de 15 milliards d’€)</w:t>
      </w:r>
      <w:r>
        <w:rPr>
          <w:rFonts w:asciiTheme="majorHAnsi" w:hAnsiTheme="majorHAnsi"/>
        </w:rPr>
        <w:t>, multipliée par l’inverse de la propension marginale à épargner des ménages. Dans l’exemple</w:t>
      </w:r>
      <w:r w:rsidR="00B36D8E">
        <w:rPr>
          <w:rFonts w:asciiTheme="majorHAnsi" w:hAnsiTheme="majorHAnsi"/>
        </w:rPr>
        <w:t> </w:t>
      </w:r>
      <w:r>
        <w:rPr>
          <w:rFonts w:asciiTheme="majorHAnsi" w:hAnsiTheme="majorHAnsi"/>
        </w:rPr>
        <w:t xml:space="preserve">: </w:t>
      </w:r>
    </w:p>
    <w:p w:rsidR="005065D9" w:rsidRPr="005065D9" w:rsidRDefault="00E22497" w:rsidP="000E4AA7">
      <w:pPr>
        <w:pStyle w:val="BodyTextIndent"/>
        <w:ind w:left="360" w:right="-1" w:firstLine="0"/>
        <w:rPr>
          <w:rFonts w:asciiTheme="majorHAnsi" w:hAnsiTheme="majorHAnsi"/>
        </w:rPr>
      </w:pPr>
      <m:oMathPara>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 xml:space="preserve">= 1900+ </m:t>
          </m:r>
          <m:f>
            <m:fPr>
              <m:ctrlPr>
                <w:rPr>
                  <w:rFonts w:ascii="Cambria Math" w:hAnsi="Cambria Math"/>
                  <w:i/>
                </w:rPr>
              </m:ctrlPr>
            </m:fPr>
            <m:num>
              <m:r>
                <w:rPr>
                  <w:rFonts w:ascii="Cambria Math" w:hAnsi="Cambria Math"/>
                </w:rPr>
                <m:t>15</m:t>
              </m:r>
            </m:num>
            <m:den>
              <m:r>
                <w:rPr>
                  <w:rFonts w:ascii="Cambria Math" w:hAnsi="Cambria Math"/>
                </w:rPr>
                <m:t>0,2</m:t>
              </m:r>
            </m:den>
          </m:f>
          <m:r>
            <w:rPr>
              <w:rFonts w:ascii="Cambria Math" w:hAnsi="Cambria Math"/>
            </w:rPr>
            <m:t>=1900+75=1975</m:t>
          </m:r>
        </m:oMath>
      </m:oMathPara>
    </w:p>
    <w:p w:rsidR="005065D9" w:rsidRDefault="005065D9" w:rsidP="000E4AA7">
      <w:pPr>
        <w:pStyle w:val="BodyTextIndent"/>
        <w:ind w:left="360" w:right="-1" w:firstLine="0"/>
        <w:rPr>
          <w:rFonts w:asciiTheme="majorHAnsi" w:hAnsiTheme="majorHAnsi"/>
        </w:rPr>
      </w:pPr>
      <w:r>
        <w:rPr>
          <w:rFonts w:asciiTheme="majorHAnsi" w:hAnsiTheme="majorHAnsi"/>
        </w:rPr>
        <w:t xml:space="preserve">L’accroissement des investissements de 15 Mrds a entraîné une augmentation du PIB (et donc aussi, dans ce modèle très simplifié, du revenu des ménages) de 75 Mrds, c’est-à-dire 5 fois plus importante que l’augmentation des investissements qui en a été la cause. </w:t>
      </w:r>
    </w:p>
    <w:p w:rsidR="00730C34" w:rsidRPr="00730C34" w:rsidRDefault="00730C34" w:rsidP="000E4AA7">
      <w:pPr>
        <w:pStyle w:val="BodyTextIndent"/>
        <w:ind w:left="360" w:right="-1" w:firstLine="0"/>
        <w:rPr>
          <w:rFonts w:asciiTheme="majorHAnsi" w:hAnsiTheme="majorHAnsi"/>
        </w:rPr>
      </w:pPr>
      <w:r>
        <w:rPr>
          <w:rFonts w:asciiTheme="majorHAnsi" w:hAnsiTheme="majorHAnsi"/>
        </w:rPr>
        <w:t xml:space="preserve">La valeur du multiplicateur, lié à une variation de l’investissement exogène, est de </w:t>
      </w:r>
      <m:oMath>
        <m:f>
          <m:fPr>
            <m:ctrlPr>
              <w:rPr>
                <w:rFonts w:ascii="Cambria Math" w:hAnsi="Cambria Math"/>
                <w:i/>
                <w:lang w:val="en-US"/>
              </w:rPr>
            </m:ctrlPr>
          </m:fPr>
          <m:num>
            <m:r>
              <m:rPr>
                <m:sty m:val="p"/>
              </m:rPr>
              <w:rPr>
                <w:rFonts w:ascii="Cambria Math" w:hAnsi="Cambria Math"/>
              </w:rPr>
              <m:t>1</m:t>
            </m:r>
          </m:num>
          <m:den>
            <m:r>
              <m:rPr>
                <m:sty m:val="p"/>
              </m:rPr>
              <w:rPr>
                <w:rFonts w:ascii="Cambria Math" w:hAnsi="Cambria Math"/>
              </w:rPr>
              <m:t>(1 – p</m:t>
            </m:r>
            <m:r>
              <m:rPr>
                <m:sty m:val="p"/>
              </m:rPr>
              <w:rPr>
                <w:rFonts w:ascii="Cambria Math" w:hAnsi="Cambria Math"/>
                <w:vertAlign w:val="subscript"/>
              </w:rPr>
              <m:t>mc</m:t>
            </m:r>
            <m:r>
              <m:rPr>
                <m:sty m:val="p"/>
              </m:rPr>
              <w:rPr>
                <w:rFonts w:ascii="Cambria Math" w:hAnsi="Cambria Math"/>
              </w:rPr>
              <m:t>)</m:t>
            </m:r>
          </m:den>
        </m:f>
      </m:oMath>
      <w:r w:rsidRPr="00730C34">
        <w:rPr>
          <w:rFonts w:asciiTheme="majorHAnsi" w:hAnsiTheme="majorHAnsi"/>
        </w:rPr>
        <w:t xml:space="preserve">  soit 5.</w:t>
      </w:r>
    </w:p>
    <w:p w:rsidR="000E4AA7" w:rsidRPr="005065D9" w:rsidRDefault="000E4AA7" w:rsidP="00CF5C3C">
      <w:pPr>
        <w:pStyle w:val="BodyTextIndent"/>
        <w:ind w:right="-1" w:firstLine="0"/>
        <w:rPr>
          <w:rFonts w:asciiTheme="majorHAnsi" w:hAnsiTheme="majorHAnsi"/>
        </w:rPr>
      </w:pPr>
    </w:p>
    <w:p w:rsidR="00AF0A12" w:rsidRPr="00C45236" w:rsidRDefault="00AF0A12" w:rsidP="003D1F98">
      <w:pPr>
        <w:pStyle w:val="BodyTextIndent"/>
        <w:numPr>
          <w:ilvl w:val="0"/>
          <w:numId w:val="34"/>
        </w:numPr>
        <w:shd w:val="clear" w:color="auto" w:fill="FABF8F" w:themeFill="accent6" w:themeFillTint="99"/>
        <w:ind w:left="357" w:right="-1" w:hanging="357"/>
        <w:rPr>
          <w:rFonts w:asciiTheme="majorHAnsi" w:hAnsiTheme="majorHAnsi"/>
          <w:i/>
        </w:rPr>
      </w:pPr>
      <w:r w:rsidRPr="00C45236">
        <w:rPr>
          <w:rFonts w:asciiTheme="majorHAnsi" w:hAnsiTheme="majorHAnsi"/>
          <w:i/>
        </w:rPr>
        <w:t>Calculez la valeur de tous les autres agrégats à l’équilibre.</w:t>
      </w:r>
    </w:p>
    <w:p w:rsidR="00CF5C3C" w:rsidRDefault="00CF5C3C" w:rsidP="00CF5C3C">
      <w:pPr>
        <w:pStyle w:val="BodyTextIndent"/>
        <w:ind w:left="357" w:right="-1" w:firstLine="0"/>
        <w:rPr>
          <w:rFonts w:asciiTheme="majorHAnsi" w:hAnsiTheme="majorHAnsi"/>
        </w:rPr>
      </w:pPr>
    </w:p>
    <w:tbl>
      <w:tblPr>
        <w:tblW w:w="2382" w:type="dxa"/>
        <w:jc w:val="center"/>
        <w:tblInd w:w="65" w:type="dxa"/>
        <w:tblCellMar>
          <w:left w:w="70" w:type="dxa"/>
          <w:right w:w="70" w:type="dxa"/>
        </w:tblCellMar>
        <w:tblLook w:val="04A0"/>
      </w:tblPr>
      <w:tblGrid>
        <w:gridCol w:w="794"/>
        <w:gridCol w:w="794"/>
        <w:gridCol w:w="794"/>
      </w:tblGrid>
      <w:tr w:rsidR="00CF5C3C" w:rsidRPr="00407F6F">
        <w:trPr>
          <w:trHeight w:val="227"/>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5C3C" w:rsidRPr="00407F6F" w:rsidRDefault="00CF5C3C" w:rsidP="00887427">
            <w:pPr>
              <w:jc w:val="right"/>
              <w:rPr>
                <w:rFonts w:asciiTheme="majorHAnsi" w:hAnsiTheme="majorHAnsi"/>
                <w:color w:val="000000"/>
                <w:sz w:val="18"/>
                <w:szCs w:val="18"/>
              </w:rPr>
            </w:pPr>
            <w:r w:rsidRPr="00407F6F">
              <w:rPr>
                <w:rFonts w:asciiTheme="majorHAnsi" w:hAnsiTheme="majorHAnsi"/>
                <w:color w:val="000000"/>
                <w:sz w:val="18"/>
                <w:szCs w:val="18"/>
              </w:rPr>
              <w:t>Y</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CF5C3C" w:rsidRPr="00407F6F" w:rsidRDefault="00CF5C3C" w:rsidP="00887427">
            <w:pPr>
              <w:jc w:val="right"/>
              <w:rPr>
                <w:rFonts w:asciiTheme="majorHAnsi" w:hAnsiTheme="majorHAnsi"/>
                <w:color w:val="000000"/>
                <w:sz w:val="18"/>
                <w:szCs w:val="18"/>
              </w:rPr>
            </w:pPr>
            <w:r>
              <w:rPr>
                <w:rFonts w:asciiTheme="majorHAnsi" w:hAnsiTheme="majorHAnsi"/>
                <w:color w:val="000000"/>
                <w:sz w:val="18"/>
                <w:szCs w:val="18"/>
              </w:rPr>
              <w:t>1975</w:t>
            </w:r>
          </w:p>
        </w:tc>
        <w:tc>
          <w:tcPr>
            <w:tcW w:w="794" w:type="dxa"/>
            <w:tcBorders>
              <w:top w:val="single" w:sz="4" w:space="0" w:color="auto"/>
              <w:left w:val="nil"/>
              <w:bottom w:val="single" w:sz="4" w:space="0" w:color="auto"/>
              <w:right w:val="single" w:sz="4" w:space="0" w:color="auto"/>
            </w:tcBorders>
          </w:tcPr>
          <w:p w:rsidR="00CF5C3C" w:rsidRDefault="00CF5C3C" w:rsidP="00887427">
            <w:pPr>
              <w:jc w:val="right"/>
              <w:rPr>
                <w:rFonts w:asciiTheme="majorHAnsi" w:hAnsiTheme="majorHAnsi"/>
                <w:color w:val="000000"/>
                <w:sz w:val="18"/>
                <w:szCs w:val="18"/>
              </w:rPr>
            </w:pPr>
            <w:r>
              <w:rPr>
                <w:rFonts w:asciiTheme="majorHAnsi" w:hAnsiTheme="majorHAnsi"/>
                <w:color w:val="000000"/>
                <w:sz w:val="18"/>
                <w:szCs w:val="18"/>
              </w:rPr>
              <w:t>+75</w:t>
            </w:r>
          </w:p>
        </w:tc>
      </w:tr>
      <w:tr w:rsidR="00CF5C3C" w:rsidRPr="00407F6F">
        <w:trPr>
          <w:trHeight w:val="227"/>
          <w:jc w:val="center"/>
        </w:trPr>
        <w:tc>
          <w:tcPr>
            <w:tcW w:w="794" w:type="dxa"/>
            <w:tcBorders>
              <w:top w:val="nil"/>
              <w:left w:val="single" w:sz="4" w:space="0" w:color="auto"/>
              <w:bottom w:val="single" w:sz="4" w:space="0" w:color="auto"/>
              <w:right w:val="single" w:sz="4" w:space="0" w:color="auto"/>
            </w:tcBorders>
            <w:shd w:val="clear" w:color="auto" w:fill="auto"/>
            <w:noWrap/>
            <w:vAlign w:val="bottom"/>
          </w:tcPr>
          <w:p w:rsidR="00CF5C3C" w:rsidRPr="00407F6F" w:rsidRDefault="00CF5C3C" w:rsidP="00887427">
            <w:pPr>
              <w:jc w:val="right"/>
              <w:rPr>
                <w:rFonts w:asciiTheme="majorHAnsi" w:hAnsiTheme="majorHAnsi"/>
                <w:color w:val="000000"/>
                <w:sz w:val="18"/>
                <w:szCs w:val="18"/>
              </w:rPr>
            </w:pPr>
            <w:r w:rsidRPr="00407F6F">
              <w:rPr>
                <w:rFonts w:asciiTheme="majorHAnsi" w:hAnsiTheme="majorHAnsi"/>
                <w:color w:val="000000"/>
                <w:sz w:val="18"/>
                <w:szCs w:val="18"/>
              </w:rPr>
              <w:t>C</w:t>
            </w:r>
          </w:p>
        </w:tc>
        <w:tc>
          <w:tcPr>
            <w:tcW w:w="794" w:type="dxa"/>
            <w:tcBorders>
              <w:top w:val="nil"/>
              <w:left w:val="nil"/>
              <w:bottom w:val="single" w:sz="4" w:space="0" w:color="auto"/>
              <w:right w:val="single" w:sz="4" w:space="0" w:color="auto"/>
            </w:tcBorders>
            <w:shd w:val="clear" w:color="auto" w:fill="auto"/>
            <w:noWrap/>
            <w:vAlign w:val="bottom"/>
          </w:tcPr>
          <w:p w:rsidR="00CF5C3C" w:rsidRPr="00407F6F" w:rsidRDefault="00CF5C3C" w:rsidP="00CF5C3C">
            <w:pPr>
              <w:jc w:val="right"/>
              <w:rPr>
                <w:rFonts w:asciiTheme="majorHAnsi" w:hAnsiTheme="majorHAnsi"/>
                <w:color w:val="000000"/>
                <w:sz w:val="18"/>
                <w:szCs w:val="18"/>
              </w:rPr>
            </w:pPr>
            <w:r w:rsidRPr="00407F6F">
              <w:rPr>
                <w:rFonts w:asciiTheme="majorHAnsi" w:hAnsiTheme="majorHAnsi"/>
                <w:color w:val="000000"/>
                <w:sz w:val="18"/>
                <w:szCs w:val="18"/>
              </w:rPr>
              <w:t>1</w:t>
            </w:r>
            <w:r>
              <w:rPr>
                <w:rFonts w:asciiTheme="majorHAnsi" w:hAnsiTheme="majorHAnsi"/>
                <w:color w:val="000000"/>
                <w:sz w:val="18"/>
                <w:szCs w:val="18"/>
              </w:rPr>
              <w:t>610</w:t>
            </w:r>
          </w:p>
        </w:tc>
        <w:tc>
          <w:tcPr>
            <w:tcW w:w="794" w:type="dxa"/>
            <w:tcBorders>
              <w:top w:val="nil"/>
              <w:left w:val="nil"/>
              <w:bottom w:val="single" w:sz="4" w:space="0" w:color="auto"/>
              <w:right w:val="single" w:sz="4" w:space="0" w:color="auto"/>
            </w:tcBorders>
          </w:tcPr>
          <w:p w:rsidR="00CF5C3C" w:rsidRPr="00407F6F" w:rsidRDefault="00CF5C3C" w:rsidP="00CF5C3C">
            <w:pPr>
              <w:jc w:val="right"/>
              <w:rPr>
                <w:rFonts w:asciiTheme="majorHAnsi" w:hAnsiTheme="majorHAnsi"/>
                <w:color w:val="000000"/>
                <w:sz w:val="18"/>
                <w:szCs w:val="18"/>
              </w:rPr>
            </w:pPr>
            <w:r>
              <w:rPr>
                <w:rFonts w:asciiTheme="majorHAnsi" w:hAnsiTheme="majorHAnsi"/>
                <w:color w:val="000000"/>
                <w:sz w:val="18"/>
                <w:szCs w:val="18"/>
              </w:rPr>
              <w:t>+ 60</w:t>
            </w:r>
          </w:p>
        </w:tc>
      </w:tr>
      <w:tr w:rsidR="00CF5C3C" w:rsidRPr="00407F6F">
        <w:trPr>
          <w:trHeight w:val="227"/>
          <w:jc w:val="center"/>
        </w:trPr>
        <w:tc>
          <w:tcPr>
            <w:tcW w:w="794" w:type="dxa"/>
            <w:tcBorders>
              <w:top w:val="nil"/>
              <w:left w:val="single" w:sz="4" w:space="0" w:color="auto"/>
              <w:bottom w:val="single" w:sz="4" w:space="0" w:color="auto"/>
              <w:right w:val="single" w:sz="4" w:space="0" w:color="auto"/>
            </w:tcBorders>
            <w:shd w:val="clear" w:color="auto" w:fill="auto"/>
            <w:noWrap/>
            <w:vAlign w:val="bottom"/>
          </w:tcPr>
          <w:p w:rsidR="00CF5C3C" w:rsidRPr="00407F6F" w:rsidRDefault="00CF5C3C" w:rsidP="00887427">
            <w:pPr>
              <w:jc w:val="right"/>
              <w:rPr>
                <w:rFonts w:asciiTheme="majorHAnsi" w:hAnsiTheme="majorHAnsi"/>
                <w:color w:val="000000"/>
                <w:sz w:val="18"/>
                <w:szCs w:val="18"/>
              </w:rPr>
            </w:pPr>
            <w:r w:rsidRPr="00407F6F">
              <w:rPr>
                <w:rFonts w:asciiTheme="majorHAnsi" w:hAnsiTheme="majorHAnsi"/>
                <w:color w:val="000000"/>
                <w:sz w:val="18"/>
                <w:szCs w:val="18"/>
              </w:rPr>
              <w:t>E</w:t>
            </w:r>
          </w:p>
        </w:tc>
        <w:tc>
          <w:tcPr>
            <w:tcW w:w="794" w:type="dxa"/>
            <w:tcBorders>
              <w:top w:val="nil"/>
              <w:left w:val="nil"/>
              <w:bottom w:val="single" w:sz="4" w:space="0" w:color="auto"/>
              <w:right w:val="single" w:sz="4" w:space="0" w:color="auto"/>
            </w:tcBorders>
            <w:shd w:val="clear" w:color="auto" w:fill="auto"/>
            <w:noWrap/>
            <w:vAlign w:val="bottom"/>
          </w:tcPr>
          <w:p w:rsidR="00CF5C3C" w:rsidRPr="00407F6F" w:rsidRDefault="00CF5C3C" w:rsidP="00CF5C3C">
            <w:pPr>
              <w:jc w:val="right"/>
              <w:rPr>
                <w:rFonts w:asciiTheme="majorHAnsi" w:hAnsiTheme="majorHAnsi"/>
                <w:color w:val="000000"/>
                <w:sz w:val="18"/>
                <w:szCs w:val="18"/>
              </w:rPr>
            </w:pPr>
            <w:r w:rsidRPr="00407F6F">
              <w:rPr>
                <w:rFonts w:asciiTheme="majorHAnsi" w:hAnsiTheme="majorHAnsi"/>
                <w:color w:val="000000"/>
                <w:sz w:val="18"/>
                <w:szCs w:val="18"/>
              </w:rPr>
              <w:t>3</w:t>
            </w:r>
            <w:r>
              <w:rPr>
                <w:rFonts w:asciiTheme="majorHAnsi" w:hAnsiTheme="majorHAnsi"/>
                <w:color w:val="000000"/>
                <w:sz w:val="18"/>
                <w:szCs w:val="18"/>
              </w:rPr>
              <w:t>65</w:t>
            </w:r>
          </w:p>
        </w:tc>
        <w:tc>
          <w:tcPr>
            <w:tcW w:w="794" w:type="dxa"/>
            <w:tcBorders>
              <w:top w:val="nil"/>
              <w:left w:val="nil"/>
              <w:bottom w:val="single" w:sz="4" w:space="0" w:color="auto"/>
              <w:right w:val="single" w:sz="4" w:space="0" w:color="auto"/>
            </w:tcBorders>
          </w:tcPr>
          <w:p w:rsidR="00CF5C3C" w:rsidRPr="00407F6F" w:rsidRDefault="00CF5C3C" w:rsidP="00887427">
            <w:pPr>
              <w:jc w:val="right"/>
              <w:rPr>
                <w:rFonts w:asciiTheme="majorHAnsi" w:hAnsiTheme="majorHAnsi"/>
                <w:color w:val="000000"/>
                <w:sz w:val="18"/>
                <w:szCs w:val="18"/>
              </w:rPr>
            </w:pPr>
            <w:r>
              <w:rPr>
                <w:rFonts w:asciiTheme="majorHAnsi" w:hAnsiTheme="majorHAnsi"/>
                <w:color w:val="000000"/>
                <w:sz w:val="18"/>
                <w:szCs w:val="18"/>
              </w:rPr>
              <w:t>+ 15</w:t>
            </w:r>
          </w:p>
        </w:tc>
      </w:tr>
      <w:tr w:rsidR="00CF5C3C" w:rsidRPr="00407F6F">
        <w:trPr>
          <w:trHeight w:val="227"/>
          <w:jc w:val="center"/>
        </w:trPr>
        <w:tc>
          <w:tcPr>
            <w:tcW w:w="794" w:type="dxa"/>
            <w:tcBorders>
              <w:top w:val="nil"/>
              <w:left w:val="single" w:sz="4" w:space="0" w:color="auto"/>
              <w:bottom w:val="single" w:sz="4" w:space="0" w:color="auto"/>
              <w:right w:val="single" w:sz="4" w:space="0" w:color="auto"/>
            </w:tcBorders>
            <w:shd w:val="clear" w:color="auto" w:fill="auto"/>
            <w:noWrap/>
            <w:vAlign w:val="bottom"/>
          </w:tcPr>
          <w:p w:rsidR="00CF5C3C" w:rsidRPr="00407F6F" w:rsidRDefault="00CF5C3C" w:rsidP="00887427">
            <w:pPr>
              <w:jc w:val="right"/>
              <w:rPr>
                <w:rFonts w:asciiTheme="majorHAnsi" w:hAnsiTheme="majorHAnsi"/>
                <w:color w:val="000000"/>
                <w:sz w:val="18"/>
                <w:szCs w:val="18"/>
              </w:rPr>
            </w:pPr>
            <w:r w:rsidRPr="00407F6F">
              <w:rPr>
                <w:rFonts w:asciiTheme="majorHAnsi" w:hAnsiTheme="majorHAnsi"/>
                <w:color w:val="000000"/>
                <w:sz w:val="18"/>
                <w:szCs w:val="18"/>
              </w:rPr>
              <w:t>I</w:t>
            </w:r>
          </w:p>
        </w:tc>
        <w:tc>
          <w:tcPr>
            <w:tcW w:w="794" w:type="dxa"/>
            <w:tcBorders>
              <w:top w:val="nil"/>
              <w:left w:val="nil"/>
              <w:bottom w:val="single" w:sz="4" w:space="0" w:color="auto"/>
              <w:right w:val="single" w:sz="4" w:space="0" w:color="auto"/>
            </w:tcBorders>
            <w:shd w:val="clear" w:color="auto" w:fill="auto"/>
            <w:noWrap/>
            <w:vAlign w:val="bottom"/>
          </w:tcPr>
          <w:p w:rsidR="00CF5C3C" w:rsidRPr="00407F6F" w:rsidRDefault="00CF5C3C" w:rsidP="00887427">
            <w:pPr>
              <w:jc w:val="right"/>
              <w:rPr>
                <w:rFonts w:asciiTheme="majorHAnsi" w:hAnsiTheme="majorHAnsi"/>
                <w:color w:val="000000"/>
                <w:sz w:val="18"/>
                <w:szCs w:val="18"/>
              </w:rPr>
            </w:pPr>
            <w:r>
              <w:rPr>
                <w:rFonts w:asciiTheme="majorHAnsi" w:hAnsiTheme="majorHAnsi"/>
                <w:color w:val="000000"/>
                <w:sz w:val="18"/>
                <w:szCs w:val="18"/>
              </w:rPr>
              <w:t>365</w:t>
            </w:r>
          </w:p>
        </w:tc>
        <w:tc>
          <w:tcPr>
            <w:tcW w:w="794" w:type="dxa"/>
            <w:tcBorders>
              <w:top w:val="nil"/>
              <w:left w:val="nil"/>
              <w:bottom w:val="single" w:sz="4" w:space="0" w:color="auto"/>
              <w:right w:val="single" w:sz="4" w:space="0" w:color="auto"/>
            </w:tcBorders>
          </w:tcPr>
          <w:p w:rsidR="00CF5C3C" w:rsidRPr="00407F6F" w:rsidRDefault="00CF5C3C" w:rsidP="00887427">
            <w:pPr>
              <w:jc w:val="right"/>
              <w:rPr>
                <w:rFonts w:asciiTheme="majorHAnsi" w:hAnsiTheme="majorHAnsi"/>
                <w:color w:val="000000"/>
                <w:sz w:val="18"/>
                <w:szCs w:val="18"/>
              </w:rPr>
            </w:pPr>
            <w:r>
              <w:rPr>
                <w:rFonts w:asciiTheme="majorHAnsi" w:hAnsiTheme="majorHAnsi"/>
                <w:color w:val="000000"/>
                <w:sz w:val="18"/>
                <w:szCs w:val="18"/>
              </w:rPr>
              <w:t>+ 15</w:t>
            </w:r>
          </w:p>
        </w:tc>
      </w:tr>
    </w:tbl>
    <w:p w:rsidR="00CF5C3C" w:rsidRPr="00AB74EF" w:rsidRDefault="00CF5C3C" w:rsidP="00CF5C3C">
      <w:pPr>
        <w:pStyle w:val="BodyTextIndent"/>
        <w:ind w:right="-1" w:firstLine="0"/>
        <w:rPr>
          <w:rFonts w:asciiTheme="majorHAnsi" w:hAnsiTheme="majorHAnsi"/>
        </w:rPr>
      </w:pPr>
    </w:p>
    <w:p w:rsidR="00AF0A12" w:rsidRPr="00C45236" w:rsidRDefault="00AF0A12" w:rsidP="003D1F98">
      <w:pPr>
        <w:pStyle w:val="BodyTextIndent"/>
        <w:numPr>
          <w:ilvl w:val="0"/>
          <w:numId w:val="34"/>
        </w:numPr>
        <w:shd w:val="clear" w:color="auto" w:fill="FABF8F" w:themeFill="accent6" w:themeFillTint="99"/>
        <w:ind w:right="-1"/>
        <w:rPr>
          <w:rFonts w:asciiTheme="majorHAnsi" w:hAnsiTheme="majorHAnsi"/>
          <w:i/>
        </w:rPr>
      </w:pPr>
      <w:r w:rsidRPr="00C45236">
        <w:rPr>
          <w:rFonts w:asciiTheme="majorHAnsi" w:hAnsiTheme="majorHAnsi"/>
          <w:i/>
        </w:rPr>
        <w:t>Comparez la situation d’équilibre initial et la nouvelle situation d’équilibre</w:t>
      </w:r>
      <w:r w:rsidR="00B36D8E">
        <w:rPr>
          <w:rFonts w:asciiTheme="majorHAnsi" w:hAnsiTheme="majorHAnsi"/>
          <w:i/>
        </w:rPr>
        <w:t> </w:t>
      </w:r>
      <w:r w:rsidRPr="00C45236">
        <w:rPr>
          <w:rFonts w:asciiTheme="majorHAnsi" w:hAnsiTheme="majorHAnsi"/>
          <w:i/>
        </w:rPr>
        <w:t>: commentez.</w:t>
      </w:r>
    </w:p>
    <w:p w:rsidR="00C23BD1" w:rsidRPr="00C23BD1" w:rsidRDefault="00C23BD1" w:rsidP="00AF0A12">
      <w:pPr>
        <w:rPr>
          <w:rFonts w:asciiTheme="majorHAnsi" w:hAnsiTheme="majorHAnsi"/>
        </w:rPr>
      </w:pPr>
    </w:p>
    <w:tbl>
      <w:tblPr>
        <w:tblW w:w="3290"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9"/>
        <w:gridCol w:w="913"/>
        <w:gridCol w:w="969"/>
        <w:gridCol w:w="589"/>
      </w:tblGrid>
      <w:tr w:rsidR="00CF5C3C" w:rsidRPr="00407F6F">
        <w:trPr>
          <w:trHeight w:val="227"/>
          <w:jc w:val="center"/>
        </w:trPr>
        <w:tc>
          <w:tcPr>
            <w:tcW w:w="819" w:type="dxa"/>
            <w:shd w:val="clear" w:color="auto" w:fill="auto"/>
            <w:noWrap/>
            <w:vAlign w:val="bottom"/>
          </w:tcPr>
          <w:p w:rsidR="00CF5C3C" w:rsidRPr="00407F6F" w:rsidRDefault="00CF5C3C" w:rsidP="00887427">
            <w:pPr>
              <w:jc w:val="right"/>
              <w:rPr>
                <w:rFonts w:asciiTheme="majorHAnsi" w:hAnsiTheme="majorHAnsi"/>
                <w:color w:val="000000"/>
                <w:sz w:val="18"/>
                <w:szCs w:val="18"/>
              </w:rPr>
            </w:pPr>
            <w:r>
              <w:rPr>
                <w:rFonts w:asciiTheme="majorHAnsi" w:hAnsiTheme="majorHAnsi"/>
                <w:color w:val="000000"/>
                <w:sz w:val="18"/>
                <w:szCs w:val="18"/>
              </w:rPr>
              <w:t>Agrégats</w:t>
            </w:r>
          </w:p>
        </w:tc>
        <w:tc>
          <w:tcPr>
            <w:tcW w:w="1882" w:type="dxa"/>
            <w:gridSpan w:val="2"/>
          </w:tcPr>
          <w:p w:rsidR="00CF5C3C" w:rsidRDefault="00CF5C3C" w:rsidP="00887427">
            <w:pPr>
              <w:jc w:val="right"/>
              <w:rPr>
                <w:rFonts w:asciiTheme="majorHAnsi" w:hAnsiTheme="majorHAnsi"/>
                <w:color w:val="000000"/>
                <w:sz w:val="18"/>
                <w:szCs w:val="18"/>
              </w:rPr>
            </w:pPr>
            <w:r>
              <w:rPr>
                <w:rFonts w:asciiTheme="majorHAnsi" w:hAnsiTheme="majorHAnsi"/>
                <w:color w:val="000000"/>
                <w:sz w:val="18"/>
                <w:szCs w:val="18"/>
              </w:rPr>
              <w:t>Valeur Mrds €</w:t>
            </w:r>
          </w:p>
        </w:tc>
        <w:tc>
          <w:tcPr>
            <w:tcW w:w="589" w:type="dxa"/>
          </w:tcPr>
          <w:p w:rsidR="00CF5C3C" w:rsidRDefault="00CF5C3C" w:rsidP="00887427">
            <w:pPr>
              <w:jc w:val="right"/>
              <w:rPr>
                <w:rFonts w:asciiTheme="majorHAnsi" w:hAnsiTheme="majorHAnsi"/>
                <w:color w:val="000000"/>
                <w:sz w:val="18"/>
                <w:szCs w:val="18"/>
              </w:rPr>
            </w:pPr>
          </w:p>
        </w:tc>
      </w:tr>
      <w:tr w:rsidR="00CF5C3C" w:rsidRPr="00407F6F">
        <w:trPr>
          <w:trHeight w:val="227"/>
          <w:jc w:val="center"/>
        </w:trPr>
        <w:tc>
          <w:tcPr>
            <w:tcW w:w="819" w:type="dxa"/>
            <w:shd w:val="clear" w:color="auto" w:fill="auto"/>
            <w:noWrap/>
            <w:vAlign w:val="bottom"/>
          </w:tcPr>
          <w:p w:rsidR="00CF5C3C" w:rsidRPr="00407F6F" w:rsidRDefault="00CF5C3C" w:rsidP="00887427">
            <w:pPr>
              <w:jc w:val="right"/>
              <w:rPr>
                <w:rFonts w:asciiTheme="majorHAnsi" w:hAnsiTheme="majorHAnsi"/>
                <w:color w:val="000000"/>
                <w:sz w:val="18"/>
                <w:szCs w:val="18"/>
              </w:rPr>
            </w:pPr>
          </w:p>
        </w:tc>
        <w:tc>
          <w:tcPr>
            <w:tcW w:w="913" w:type="dxa"/>
          </w:tcPr>
          <w:p w:rsidR="00CF5C3C" w:rsidRPr="00CF5C3C" w:rsidRDefault="00CF5C3C" w:rsidP="00CF5C3C">
            <w:pPr>
              <w:jc w:val="center"/>
              <w:rPr>
                <w:rFonts w:asciiTheme="majorHAnsi" w:hAnsiTheme="majorHAnsi"/>
                <w:color w:val="000000"/>
                <w:sz w:val="16"/>
                <w:szCs w:val="16"/>
              </w:rPr>
            </w:pPr>
            <w:r w:rsidRPr="00CF5C3C">
              <w:rPr>
                <w:rFonts w:asciiTheme="majorHAnsi" w:hAnsiTheme="majorHAnsi"/>
                <w:color w:val="000000"/>
                <w:sz w:val="16"/>
                <w:szCs w:val="16"/>
              </w:rPr>
              <w:t>Situation Initiale</w:t>
            </w:r>
          </w:p>
        </w:tc>
        <w:tc>
          <w:tcPr>
            <w:tcW w:w="969" w:type="dxa"/>
            <w:shd w:val="clear" w:color="auto" w:fill="auto"/>
            <w:noWrap/>
            <w:vAlign w:val="bottom"/>
          </w:tcPr>
          <w:p w:rsidR="00CF5C3C" w:rsidRPr="00CF5C3C" w:rsidRDefault="00CF5C3C" w:rsidP="00CF5C3C">
            <w:pPr>
              <w:jc w:val="center"/>
              <w:rPr>
                <w:rFonts w:asciiTheme="majorHAnsi" w:hAnsiTheme="majorHAnsi"/>
                <w:color w:val="000000"/>
                <w:sz w:val="16"/>
                <w:szCs w:val="16"/>
              </w:rPr>
            </w:pPr>
            <w:r w:rsidRPr="00CF5C3C">
              <w:rPr>
                <w:rFonts w:asciiTheme="majorHAnsi" w:hAnsiTheme="majorHAnsi"/>
                <w:color w:val="000000"/>
                <w:sz w:val="16"/>
                <w:szCs w:val="16"/>
              </w:rPr>
              <w:t xml:space="preserve">Après </w:t>
            </w:r>
            <w:r w:rsidRPr="00CF5C3C">
              <w:rPr>
                <w:rFonts w:ascii="Calibri" w:hAnsi="Calibri"/>
                <w:color w:val="000000"/>
                <w:sz w:val="16"/>
                <w:szCs w:val="16"/>
              </w:rPr>
              <w:t>↗</w:t>
            </w:r>
            <w:r w:rsidRPr="00CF5C3C">
              <w:rPr>
                <w:rFonts w:asciiTheme="majorHAnsi" w:hAnsiTheme="majorHAnsi"/>
                <w:color w:val="000000"/>
                <w:sz w:val="16"/>
                <w:szCs w:val="16"/>
              </w:rPr>
              <w:t xml:space="preserve"> de l’Invest.</w:t>
            </w:r>
          </w:p>
        </w:tc>
        <w:tc>
          <w:tcPr>
            <w:tcW w:w="589" w:type="dxa"/>
          </w:tcPr>
          <w:p w:rsidR="00CF5C3C" w:rsidRDefault="00CF5C3C" w:rsidP="00887427">
            <w:pPr>
              <w:jc w:val="right"/>
              <w:rPr>
                <w:rFonts w:asciiTheme="majorHAnsi" w:hAnsiTheme="majorHAnsi"/>
                <w:color w:val="000000"/>
                <w:sz w:val="18"/>
                <w:szCs w:val="18"/>
              </w:rPr>
            </w:pPr>
          </w:p>
        </w:tc>
      </w:tr>
      <w:tr w:rsidR="00CF5C3C" w:rsidRPr="00407F6F">
        <w:trPr>
          <w:trHeight w:val="227"/>
          <w:jc w:val="center"/>
        </w:trPr>
        <w:tc>
          <w:tcPr>
            <w:tcW w:w="819" w:type="dxa"/>
            <w:shd w:val="clear" w:color="auto" w:fill="auto"/>
            <w:noWrap/>
            <w:vAlign w:val="bottom"/>
          </w:tcPr>
          <w:p w:rsidR="00CF5C3C" w:rsidRPr="00407F6F" w:rsidRDefault="00CF5C3C" w:rsidP="00887427">
            <w:pPr>
              <w:jc w:val="right"/>
              <w:rPr>
                <w:rFonts w:asciiTheme="majorHAnsi" w:hAnsiTheme="majorHAnsi"/>
                <w:color w:val="000000"/>
                <w:sz w:val="18"/>
                <w:szCs w:val="18"/>
              </w:rPr>
            </w:pPr>
            <w:r w:rsidRPr="00407F6F">
              <w:rPr>
                <w:rFonts w:asciiTheme="majorHAnsi" w:hAnsiTheme="majorHAnsi"/>
                <w:color w:val="000000"/>
                <w:sz w:val="18"/>
                <w:szCs w:val="18"/>
              </w:rPr>
              <w:t>Y</w:t>
            </w:r>
          </w:p>
        </w:tc>
        <w:tc>
          <w:tcPr>
            <w:tcW w:w="913" w:type="dxa"/>
            <w:vAlign w:val="bottom"/>
          </w:tcPr>
          <w:p w:rsidR="00CF5C3C" w:rsidRPr="00407F6F" w:rsidRDefault="00CF5C3C" w:rsidP="00887427">
            <w:pPr>
              <w:jc w:val="right"/>
              <w:rPr>
                <w:rFonts w:asciiTheme="majorHAnsi" w:hAnsiTheme="majorHAnsi"/>
                <w:color w:val="000000"/>
                <w:sz w:val="18"/>
                <w:szCs w:val="18"/>
              </w:rPr>
            </w:pPr>
            <w:r w:rsidRPr="00407F6F">
              <w:rPr>
                <w:rFonts w:asciiTheme="majorHAnsi" w:hAnsiTheme="majorHAnsi"/>
                <w:color w:val="000000"/>
                <w:sz w:val="18"/>
                <w:szCs w:val="18"/>
              </w:rPr>
              <w:t>1900</w:t>
            </w:r>
          </w:p>
        </w:tc>
        <w:tc>
          <w:tcPr>
            <w:tcW w:w="969" w:type="dxa"/>
            <w:shd w:val="clear" w:color="auto" w:fill="auto"/>
            <w:noWrap/>
            <w:vAlign w:val="bottom"/>
          </w:tcPr>
          <w:p w:rsidR="00CF5C3C" w:rsidRPr="00407F6F" w:rsidRDefault="00CF5C3C" w:rsidP="00887427">
            <w:pPr>
              <w:jc w:val="right"/>
              <w:rPr>
                <w:rFonts w:asciiTheme="majorHAnsi" w:hAnsiTheme="majorHAnsi"/>
                <w:color w:val="000000"/>
                <w:sz w:val="18"/>
                <w:szCs w:val="18"/>
              </w:rPr>
            </w:pPr>
            <w:r>
              <w:rPr>
                <w:rFonts w:asciiTheme="majorHAnsi" w:hAnsiTheme="majorHAnsi"/>
                <w:color w:val="000000"/>
                <w:sz w:val="18"/>
                <w:szCs w:val="18"/>
              </w:rPr>
              <w:t>1975</w:t>
            </w:r>
          </w:p>
        </w:tc>
        <w:tc>
          <w:tcPr>
            <w:tcW w:w="589" w:type="dxa"/>
            <w:vAlign w:val="center"/>
          </w:tcPr>
          <w:p w:rsidR="00CF5C3C" w:rsidRDefault="00CF5C3C" w:rsidP="00CF5C3C">
            <w:pPr>
              <w:jc w:val="right"/>
              <w:rPr>
                <w:rFonts w:asciiTheme="majorHAnsi" w:hAnsiTheme="majorHAnsi"/>
                <w:color w:val="000000"/>
                <w:sz w:val="18"/>
                <w:szCs w:val="18"/>
              </w:rPr>
            </w:pPr>
            <w:r>
              <w:rPr>
                <w:rFonts w:asciiTheme="majorHAnsi" w:hAnsiTheme="majorHAnsi"/>
                <w:color w:val="000000"/>
                <w:sz w:val="18"/>
                <w:szCs w:val="18"/>
              </w:rPr>
              <w:t>+75</w:t>
            </w:r>
          </w:p>
        </w:tc>
      </w:tr>
      <w:tr w:rsidR="00CF5C3C" w:rsidRPr="00407F6F">
        <w:trPr>
          <w:trHeight w:val="227"/>
          <w:jc w:val="center"/>
        </w:trPr>
        <w:tc>
          <w:tcPr>
            <w:tcW w:w="819" w:type="dxa"/>
            <w:shd w:val="clear" w:color="auto" w:fill="auto"/>
            <w:noWrap/>
            <w:vAlign w:val="bottom"/>
          </w:tcPr>
          <w:p w:rsidR="00CF5C3C" w:rsidRPr="00407F6F" w:rsidRDefault="00CF5C3C" w:rsidP="00887427">
            <w:pPr>
              <w:jc w:val="right"/>
              <w:rPr>
                <w:rFonts w:asciiTheme="majorHAnsi" w:hAnsiTheme="majorHAnsi"/>
                <w:color w:val="000000"/>
                <w:sz w:val="18"/>
                <w:szCs w:val="18"/>
              </w:rPr>
            </w:pPr>
            <w:r w:rsidRPr="00407F6F">
              <w:rPr>
                <w:rFonts w:asciiTheme="majorHAnsi" w:hAnsiTheme="majorHAnsi"/>
                <w:color w:val="000000"/>
                <w:sz w:val="18"/>
                <w:szCs w:val="18"/>
              </w:rPr>
              <w:t>C</w:t>
            </w:r>
          </w:p>
        </w:tc>
        <w:tc>
          <w:tcPr>
            <w:tcW w:w="913" w:type="dxa"/>
            <w:vAlign w:val="bottom"/>
          </w:tcPr>
          <w:p w:rsidR="00CF5C3C" w:rsidRPr="00407F6F" w:rsidRDefault="00CF5C3C" w:rsidP="00887427">
            <w:pPr>
              <w:jc w:val="right"/>
              <w:rPr>
                <w:rFonts w:asciiTheme="majorHAnsi" w:hAnsiTheme="majorHAnsi"/>
                <w:color w:val="000000"/>
                <w:sz w:val="18"/>
                <w:szCs w:val="18"/>
              </w:rPr>
            </w:pPr>
            <w:r w:rsidRPr="00407F6F">
              <w:rPr>
                <w:rFonts w:asciiTheme="majorHAnsi" w:hAnsiTheme="majorHAnsi"/>
                <w:color w:val="000000"/>
                <w:sz w:val="18"/>
                <w:szCs w:val="18"/>
              </w:rPr>
              <w:t>1550</w:t>
            </w:r>
          </w:p>
        </w:tc>
        <w:tc>
          <w:tcPr>
            <w:tcW w:w="969" w:type="dxa"/>
            <w:shd w:val="clear" w:color="auto" w:fill="auto"/>
            <w:noWrap/>
            <w:vAlign w:val="bottom"/>
          </w:tcPr>
          <w:p w:rsidR="00CF5C3C" w:rsidRPr="00407F6F" w:rsidRDefault="00CF5C3C" w:rsidP="00887427">
            <w:pPr>
              <w:jc w:val="right"/>
              <w:rPr>
                <w:rFonts w:asciiTheme="majorHAnsi" w:hAnsiTheme="majorHAnsi"/>
                <w:color w:val="000000"/>
                <w:sz w:val="18"/>
                <w:szCs w:val="18"/>
              </w:rPr>
            </w:pPr>
            <w:r w:rsidRPr="00407F6F">
              <w:rPr>
                <w:rFonts w:asciiTheme="majorHAnsi" w:hAnsiTheme="majorHAnsi"/>
                <w:color w:val="000000"/>
                <w:sz w:val="18"/>
                <w:szCs w:val="18"/>
              </w:rPr>
              <w:t>1</w:t>
            </w:r>
            <w:r>
              <w:rPr>
                <w:rFonts w:asciiTheme="majorHAnsi" w:hAnsiTheme="majorHAnsi"/>
                <w:color w:val="000000"/>
                <w:sz w:val="18"/>
                <w:szCs w:val="18"/>
              </w:rPr>
              <w:t>610</w:t>
            </w:r>
          </w:p>
        </w:tc>
        <w:tc>
          <w:tcPr>
            <w:tcW w:w="589" w:type="dxa"/>
            <w:vAlign w:val="center"/>
          </w:tcPr>
          <w:p w:rsidR="00CF5C3C" w:rsidRPr="00407F6F" w:rsidRDefault="00CF5C3C" w:rsidP="00CF5C3C">
            <w:pPr>
              <w:jc w:val="right"/>
              <w:rPr>
                <w:rFonts w:asciiTheme="majorHAnsi" w:hAnsiTheme="majorHAnsi"/>
                <w:color w:val="000000"/>
                <w:sz w:val="18"/>
                <w:szCs w:val="18"/>
              </w:rPr>
            </w:pPr>
            <w:r>
              <w:rPr>
                <w:rFonts w:asciiTheme="majorHAnsi" w:hAnsiTheme="majorHAnsi"/>
                <w:color w:val="000000"/>
                <w:sz w:val="18"/>
                <w:szCs w:val="18"/>
              </w:rPr>
              <w:t>+ 60</w:t>
            </w:r>
          </w:p>
        </w:tc>
      </w:tr>
      <w:tr w:rsidR="00CF5C3C" w:rsidRPr="00407F6F">
        <w:trPr>
          <w:trHeight w:val="227"/>
          <w:jc w:val="center"/>
        </w:trPr>
        <w:tc>
          <w:tcPr>
            <w:tcW w:w="819" w:type="dxa"/>
            <w:shd w:val="clear" w:color="auto" w:fill="auto"/>
            <w:noWrap/>
            <w:vAlign w:val="bottom"/>
          </w:tcPr>
          <w:p w:rsidR="00CF5C3C" w:rsidRPr="00407F6F" w:rsidRDefault="00CF5C3C" w:rsidP="00887427">
            <w:pPr>
              <w:jc w:val="right"/>
              <w:rPr>
                <w:rFonts w:asciiTheme="majorHAnsi" w:hAnsiTheme="majorHAnsi"/>
                <w:color w:val="000000"/>
                <w:sz w:val="18"/>
                <w:szCs w:val="18"/>
              </w:rPr>
            </w:pPr>
            <w:r w:rsidRPr="00407F6F">
              <w:rPr>
                <w:rFonts w:asciiTheme="majorHAnsi" w:hAnsiTheme="majorHAnsi"/>
                <w:color w:val="000000"/>
                <w:sz w:val="18"/>
                <w:szCs w:val="18"/>
              </w:rPr>
              <w:t>E</w:t>
            </w:r>
          </w:p>
        </w:tc>
        <w:tc>
          <w:tcPr>
            <w:tcW w:w="913" w:type="dxa"/>
            <w:vAlign w:val="bottom"/>
          </w:tcPr>
          <w:p w:rsidR="00CF5C3C" w:rsidRPr="00407F6F" w:rsidRDefault="00CF5C3C" w:rsidP="00887427">
            <w:pPr>
              <w:jc w:val="right"/>
              <w:rPr>
                <w:rFonts w:asciiTheme="majorHAnsi" w:hAnsiTheme="majorHAnsi"/>
                <w:color w:val="000000"/>
                <w:sz w:val="18"/>
                <w:szCs w:val="18"/>
              </w:rPr>
            </w:pPr>
            <w:r w:rsidRPr="00407F6F">
              <w:rPr>
                <w:rFonts w:asciiTheme="majorHAnsi" w:hAnsiTheme="majorHAnsi"/>
                <w:color w:val="000000"/>
                <w:sz w:val="18"/>
                <w:szCs w:val="18"/>
              </w:rPr>
              <w:t>350</w:t>
            </w:r>
          </w:p>
        </w:tc>
        <w:tc>
          <w:tcPr>
            <w:tcW w:w="969" w:type="dxa"/>
            <w:shd w:val="clear" w:color="auto" w:fill="auto"/>
            <w:noWrap/>
            <w:vAlign w:val="bottom"/>
          </w:tcPr>
          <w:p w:rsidR="00CF5C3C" w:rsidRPr="00407F6F" w:rsidRDefault="00CF5C3C" w:rsidP="00887427">
            <w:pPr>
              <w:jc w:val="right"/>
              <w:rPr>
                <w:rFonts w:asciiTheme="majorHAnsi" w:hAnsiTheme="majorHAnsi"/>
                <w:color w:val="000000"/>
                <w:sz w:val="18"/>
                <w:szCs w:val="18"/>
              </w:rPr>
            </w:pPr>
            <w:r w:rsidRPr="00407F6F">
              <w:rPr>
                <w:rFonts w:asciiTheme="majorHAnsi" w:hAnsiTheme="majorHAnsi"/>
                <w:color w:val="000000"/>
                <w:sz w:val="18"/>
                <w:szCs w:val="18"/>
              </w:rPr>
              <w:t>3</w:t>
            </w:r>
            <w:r>
              <w:rPr>
                <w:rFonts w:asciiTheme="majorHAnsi" w:hAnsiTheme="majorHAnsi"/>
                <w:color w:val="000000"/>
                <w:sz w:val="18"/>
                <w:szCs w:val="18"/>
              </w:rPr>
              <w:t>65</w:t>
            </w:r>
          </w:p>
        </w:tc>
        <w:tc>
          <w:tcPr>
            <w:tcW w:w="589" w:type="dxa"/>
            <w:vAlign w:val="center"/>
          </w:tcPr>
          <w:p w:rsidR="00CF5C3C" w:rsidRPr="00407F6F" w:rsidRDefault="00CF5C3C" w:rsidP="00CF5C3C">
            <w:pPr>
              <w:jc w:val="right"/>
              <w:rPr>
                <w:rFonts w:asciiTheme="majorHAnsi" w:hAnsiTheme="majorHAnsi"/>
                <w:color w:val="000000"/>
                <w:sz w:val="18"/>
                <w:szCs w:val="18"/>
              </w:rPr>
            </w:pPr>
            <w:r>
              <w:rPr>
                <w:rFonts w:asciiTheme="majorHAnsi" w:hAnsiTheme="majorHAnsi"/>
                <w:color w:val="000000"/>
                <w:sz w:val="18"/>
                <w:szCs w:val="18"/>
              </w:rPr>
              <w:t>+ 15</w:t>
            </w:r>
          </w:p>
        </w:tc>
      </w:tr>
      <w:tr w:rsidR="00CF5C3C" w:rsidRPr="00407F6F">
        <w:trPr>
          <w:trHeight w:val="227"/>
          <w:jc w:val="center"/>
        </w:trPr>
        <w:tc>
          <w:tcPr>
            <w:tcW w:w="819" w:type="dxa"/>
            <w:shd w:val="clear" w:color="auto" w:fill="auto"/>
            <w:noWrap/>
            <w:vAlign w:val="bottom"/>
          </w:tcPr>
          <w:p w:rsidR="00CF5C3C" w:rsidRPr="00407F6F" w:rsidRDefault="00CF5C3C" w:rsidP="00887427">
            <w:pPr>
              <w:jc w:val="right"/>
              <w:rPr>
                <w:rFonts w:asciiTheme="majorHAnsi" w:hAnsiTheme="majorHAnsi"/>
                <w:color w:val="000000"/>
                <w:sz w:val="18"/>
                <w:szCs w:val="18"/>
              </w:rPr>
            </w:pPr>
            <w:r w:rsidRPr="00407F6F">
              <w:rPr>
                <w:rFonts w:asciiTheme="majorHAnsi" w:hAnsiTheme="majorHAnsi"/>
                <w:color w:val="000000"/>
                <w:sz w:val="18"/>
                <w:szCs w:val="18"/>
              </w:rPr>
              <w:t>I</w:t>
            </w:r>
          </w:p>
        </w:tc>
        <w:tc>
          <w:tcPr>
            <w:tcW w:w="913" w:type="dxa"/>
            <w:vAlign w:val="bottom"/>
          </w:tcPr>
          <w:p w:rsidR="00CF5C3C" w:rsidRPr="00407F6F" w:rsidRDefault="00CF5C3C" w:rsidP="00887427">
            <w:pPr>
              <w:jc w:val="right"/>
              <w:rPr>
                <w:rFonts w:asciiTheme="majorHAnsi" w:hAnsiTheme="majorHAnsi"/>
                <w:color w:val="000000"/>
                <w:sz w:val="18"/>
                <w:szCs w:val="18"/>
              </w:rPr>
            </w:pPr>
            <w:r w:rsidRPr="00407F6F">
              <w:rPr>
                <w:rFonts w:asciiTheme="majorHAnsi" w:hAnsiTheme="majorHAnsi"/>
                <w:color w:val="000000"/>
                <w:sz w:val="18"/>
                <w:szCs w:val="18"/>
              </w:rPr>
              <w:t>350</w:t>
            </w:r>
          </w:p>
        </w:tc>
        <w:tc>
          <w:tcPr>
            <w:tcW w:w="969" w:type="dxa"/>
            <w:shd w:val="clear" w:color="auto" w:fill="auto"/>
            <w:noWrap/>
            <w:vAlign w:val="bottom"/>
          </w:tcPr>
          <w:p w:rsidR="00CF5C3C" w:rsidRPr="00407F6F" w:rsidRDefault="00CF5C3C" w:rsidP="00887427">
            <w:pPr>
              <w:jc w:val="right"/>
              <w:rPr>
                <w:rFonts w:asciiTheme="majorHAnsi" w:hAnsiTheme="majorHAnsi"/>
                <w:color w:val="000000"/>
                <w:sz w:val="18"/>
                <w:szCs w:val="18"/>
              </w:rPr>
            </w:pPr>
            <w:r>
              <w:rPr>
                <w:rFonts w:asciiTheme="majorHAnsi" w:hAnsiTheme="majorHAnsi"/>
                <w:color w:val="000000"/>
                <w:sz w:val="18"/>
                <w:szCs w:val="18"/>
              </w:rPr>
              <w:t>365</w:t>
            </w:r>
          </w:p>
        </w:tc>
        <w:tc>
          <w:tcPr>
            <w:tcW w:w="589" w:type="dxa"/>
            <w:vAlign w:val="center"/>
          </w:tcPr>
          <w:p w:rsidR="00CF5C3C" w:rsidRPr="00407F6F" w:rsidRDefault="00CF5C3C" w:rsidP="00CF5C3C">
            <w:pPr>
              <w:jc w:val="right"/>
              <w:rPr>
                <w:rFonts w:asciiTheme="majorHAnsi" w:hAnsiTheme="majorHAnsi"/>
                <w:color w:val="000000"/>
                <w:sz w:val="18"/>
                <w:szCs w:val="18"/>
              </w:rPr>
            </w:pPr>
            <w:r>
              <w:rPr>
                <w:rFonts w:asciiTheme="majorHAnsi" w:hAnsiTheme="majorHAnsi"/>
                <w:color w:val="000000"/>
                <w:sz w:val="18"/>
                <w:szCs w:val="18"/>
              </w:rPr>
              <w:t>+ 15</w:t>
            </w:r>
          </w:p>
        </w:tc>
      </w:tr>
    </w:tbl>
    <w:p w:rsidR="0043220A" w:rsidRDefault="0043220A" w:rsidP="00234D05">
      <w:pPr>
        <w:pStyle w:val="BodyTextIndent"/>
        <w:spacing w:after="120"/>
        <w:ind w:right="1" w:firstLine="0"/>
        <w:rPr>
          <w:rFonts w:asciiTheme="majorHAnsi" w:hAnsiTheme="majorHAnsi"/>
        </w:rPr>
      </w:pPr>
    </w:p>
    <w:p w:rsidR="00C23BD1" w:rsidRDefault="0043220A" w:rsidP="00234D05">
      <w:pPr>
        <w:pStyle w:val="BodyTextIndent"/>
        <w:spacing w:after="120"/>
        <w:ind w:right="1" w:firstLine="0"/>
        <w:rPr>
          <w:rFonts w:asciiTheme="majorHAnsi" w:hAnsiTheme="majorHAnsi"/>
        </w:rPr>
      </w:pPr>
      <w:r>
        <w:rPr>
          <w:rFonts w:asciiTheme="majorHAnsi" w:hAnsiTheme="majorHAnsi"/>
        </w:rPr>
        <w:t>A travers le mécanisme du multiplicateur, l’augmentation des investissements entraîne un accroissement de la production, donc du revenu des ménages de 75 milliards d’€</w:t>
      </w:r>
      <w:r w:rsidR="00B36D8E">
        <w:rPr>
          <w:rFonts w:asciiTheme="majorHAnsi" w:hAnsiTheme="majorHAnsi"/>
        </w:rPr>
        <w:t> </w:t>
      </w:r>
      <w:r>
        <w:rPr>
          <w:rFonts w:asciiTheme="majorHAnsi" w:hAnsiTheme="majorHAnsi"/>
        </w:rPr>
        <w:t>: elle génère une augmentation de la consommation de 60 milliards, et simultanément un accroissement de l’épargne des ménages égal à celui des investissements (15 milliards)</w:t>
      </w:r>
      <w:r w:rsidR="00B36D8E">
        <w:rPr>
          <w:rFonts w:asciiTheme="majorHAnsi" w:hAnsiTheme="majorHAnsi"/>
        </w:rPr>
        <w:t> </w:t>
      </w:r>
      <w:r>
        <w:rPr>
          <w:rFonts w:asciiTheme="majorHAnsi" w:hAnsiTheme="majorHAnsi"/>
        </w:rPr>
        <w:t xml:space="preserve">: l’équilibre financier est toujours préservé à l’équilibre Offre/Demande globales. La totalité des investissements peut être financée par l’épargne (les capacités de financement sont égales aux besoins en financement). </w:t>
      </w:r>
    </w:p>
    <w:p w:rsidR="0043220A" w:rsidRPr="0043220A" w:rsidRDefault="0043220A" w:rsidP="00234D05">
      <w:pPr>
        <w:pStyle w:val="BodyTextIndent"/>
        <w:spacing w:after="120"/>
        <w:ind w:right="1" w:firstLine="0"/>
        <w:rPr>
          <w:rFonts w:asciiTheme="majorHAnsi" w:hAnsiTheme="majorHAnsi"/>
        </w:rPr>
      </w:pPr>
      <w:r>
        <w:rPr>
          <w:rFonts w:asciiTheme="majorHAnsi" w:hAnsiTheme="majorHAnsi"/>
        </w:rPr>
        <w:t>Le multiplicateur fonctionne de la manière suivante</w:t>
      </w:r>
      <w:r w:rsidR="00B36D8E">
        <w:rPr>
          <w:rFonts w:asciiTheme="majorHAnsi" w:hAnsiTheme="majorHAnsi"/>
        </w:rPr>
        <w:t> </w:t>
      </w:r>
      <w:r>
        <w:rPr>
          <w:rFonts w:asciiTheme="majorHAnsi" w:hAnsiTheme="majorHAnsi"/>
        </w:rPr>
        <w:t xml:space="preserve">: </w:t>
      </w:r>
    </w:p>
    <w:tbl>
      <w:tblPr>
        <w:tblStyle w:val="TableGrid"/>
        <w:tblW w:w="9015" w:type="dxa"/>
        <w:jc w:val="center"/>
        <w:tblLook w:val="04A0"/>
      </w:tblPr>
      <w:tblGrid>
        <w:gridCol w:w="851"/>
        <w:gridCol w:w="2041"/>
        <w:gridCol w:w="2041"/>
        <w:gridCol w:w="2041"/>
        <w:gridCol w:w="2041"/>
      </w:tblGrid>
      <w:tr w:rsidR="0043220A" w:rsidRPr="0043220A">
        <w:trPr>
          <w:jc w:val="center"/>
        </w:trPr>
        <w:tc>
          <w:tcPr>
            <w:tcW w:w="851" w:type="dxa"/>
            <w:vAlign w:val="center"/>
          </w:tcPr>
          <w:p w:rsidR="0043220A" w:rsidRPr="0043220A" w:rsidRDefault="0043220A" w:rsidP="0043220A">
            <w:pPr>
              <w:pStyle w:val="BodyTextIndent"/>
              <w:spacing w:after="120"/>
              <w:ind w:right="1" w:firstLine="0"/>
              <w:jc w:val="center"/>
              <w:rPr>
                <w:rFonts w:asciiTheme="majorHAnsi" w:hAnsiTheme="majorHAnsi"/>
                <w:sz w:val="16"/>
                <w:szCs w:val="16"/>
              </w:rPr>
            </w:pPr>
            <w:r w:rsidRPr="0043220A">
              <w:rPr>
                <w:rFonts w:asciiTheme="majorHAnsi" w:hAnsiTheme="majorHAnsi"/>
                <w:sz w:val="16"/>
                <w:szCs w:val="16"/>
              </w:rPr>
              <w:t>Périodes</w:t>
            </w:r>
          </w:p>
        </w:tc>
        <w:tc>
          <w:tcPr>
            <w:tcW w:w="2041" w:type="dxa"/>
            <w:vAlign w:val="center"/>
          </w:tcPr>
          <w:p w:rsidR="0043220A" w:rsidRPr="0043220A" w:rsidRDefault="0043220A" w:rsidP="0043220A">
            <w:pPr>
              <w:pStyle w:val="BodyTextIndent"/>
              <w:spacing w:after="120"/>
              <w:ind w:right="1" w:firstLine="0"/>
              <w:jc w:val="center"/>
              <w:rPr>
                <w:rFonts w:asciiTheme="majorHAnsi" w:hAnsiTheme="majorHAnsi"/>
                <w:sz w:val="16"/>
                <w:szCs w:val="16"/>
              </w:rPr>
            </w:pPr>
            <w:r w:rsidRPr="0043220A">
              <w:rPr>
                <w:rFonts w:asciiTheme="majorHAnsi" w:hAnsiTheme="majorHAnsi"/>
                <w:sz w:val="16"/>
                <w:szCs w:val="16"/>
              </w:rPr>
              <w:sym w:font="Symbol" w:char="F044"/>
            </w:r>
            <w:r w:rsidRPr="0043220A">
              <w:rPr>
                <w:rFonts w:asciiTheme="majorHAnsi" w:hAnsiTheme="majorHAnsi"/>
                <w:sz w:val="16"/>
                <w:szCs w:val="16"/>
              </w:rPr>
              <w:t xml:space="preserve"> des Investissements</w:t>
            </w:r>
          </w:p>
        </w:tc>
        <w:tc>
          <w:tcPr>
            <w:tcW w:w="2041" w:type="dxa"/>
            <w:vAlign w:val="center"/>
          </w:tcPr>
          <w:p w:rsidR="0043220A" w:rsidRPr="0043220A" w:rsidRDefault="0043220A" w:rsidP="0043220A">
            <w:pPr>
              <w:pStyle w:val="BodyTextIndent"/>
              <w:spacing w:after="120"/>
              <w:ind w:right="1" w:firstLine="0"/>
              <w:jc w:val="center"/>
              <w:rPr>
                <w:rFonts w:asciiTheme="majorHAnsi" w:hAnsiTheme="majorHAnsi"/>
                <w:sz w:val="16"/>
                <w:szCs w:val="16"/>
              </w:rPr>
            </w:pPr>
            <w:r w:rsidRPr="0043220A">
              <w:rPr>
                <w:rFonts w:asciiTheme="majorHAnsi" w:hAnsiTheme="majorHAnsi"/>
                <w:sz w:val="16"/>
                <w:szCs w:val="16"/>
              </w:rPr>
              <w:sym w:font="Symbol" w:char="F044"/>
            </w:r>
            <w:r w:rsidRPr="0043220A">
              <w:rPr>
                <w:rFonts w:asciiTheme="majorHAnsi" w:hAnsiTheme="majorHAnsi"/>
                <w:sz w:val="16"/>
                <w:szCs w:val="16"/>
              </w:rPr>
              <w:t xml:space="preserve"> de la consommation</w:t>
            </w:r>
          </w:p>
        </w:tc>
        <w:tc>
          <w:tcPr>
            <w:tcW w:w="2041" w:type="dxa"/>
            <w:vAlign w:val="center"/>
          </w:tcPr>
          <w:p w:rsidR="0043220A" w:rsidRPr="0043220A" w:rsidRDefault="0043220A" w:rsidP="0043220A">
            <w:pPr>
              <w:pStyle w:val="BodyTextIndent"/>
              <w:spacing w:after="120"/>
              <w:ind w:right="1" w:firstLine="0"/>
              <w:jc w:val="center"/>
              <w:rPr>
                <w:rFonts w:asciiTheme="majorHAnsi" w:hAnsiTheme="majorHAnsi"/>
                <w:sz w:val="16"/>
                <w:szCs w:val="16"/>
              </w:rPr>
            </w:pPr>
            <w:r w:rsidRPr="0043220A">
              <w:rPr>
                <w:rFonts w:asciiTheme="majorHAnsi" w:hAnsiTheme="majorHAnsi"/>
                <w:sz w:val="16"/>
                <w:szCs w:val="16"/>
              </w:rPr>
              <w:sym w:font="Symbol" w:char="F044"/>
            </w:r>
            <w:r w:rsidRPr="0043220A">
              <w:rPr>
                <w:rFonts w:asciiTheme="majorHAnsi" w:hAnsiTheme="majorHAnsi"/>
                <w:sz w:val="16"/>
                <w:szCs w:val="16"/>
              </w:rPr>
              <w:t xml:space="preserve"> de l’épargne</w:t>
            </w:r>
          </w:p>
        </w:tc>
        <w:tc>
          <w:tcPr>
            <w:tcW w:w="2041" w:type="dxa"/>
            <w:vAlign w:val="center"/>
          </w:tcPr>
          <w:p w:rsidR="0043220A" w:rsidRPr="0043220A" w:rsidRDefault="0043220A" w:rsidP="0043220A">
            <w:pPr>
              <w:pStyle w:val="BodyTextIndent"/>
              <w:spacing w:after="120"/>
              <w:ind w:right="1" w:firstLine="0"/>
              <w:jc w:val="center"/>
              <w:rPr>
                <w:rFonts w:asciiTheme="majorHAnsi" w:hAnsiTheme="majorHAnsi"/>
                <w:sz w:val="16"/>
                <w:szCs w:val="16"/>
              </w:rPr>
            </w:pPr>
            <w:r w:rsidRPr="0043220A">
              <w:rPr>
                <w:rFonts w:asciiTheme="majorHAnsi" w:hAnsiTheme="majorHAnsi"/>
                <w:sz w:val="16"/>
                <w:szCs w:val="16"/>
              </w:rPr>
              <w:sym w:font="Symbol" w:char="F044"/>
            </w:r>
            <w:r w:rsidRPr="0043220A">
              <w:rPr>
                <w:rFonts w:asciiTheme="majorHAnsi" w:hAnsiTheme="majorHAnsi"/>
                <w:sz w:val="16"/>
                <w:szCs w:val="16"/>
              </w:rPr>
              <w:t xml:space="preserve"> du PIB = </w:t>
            </w:r>
            <w:r w:rsidRPr="0043220A">
              <w:rPr>
                <w:rFonts w:asciiTheme="majorHAnsi" w:hAnsiTheme="majorHAnsi"/>
                <w:sz w:val="16"/>
                <w:szCs w:val="16"/>
              </w:rPr>
              <w:sym w:font="Symbol" w:char="F044"/>
            </w:r>
            <w:r w:rsidRPr="0043220A">
              <w:rPr>
                <w:rFonts w:asciiTheme="majorHAnsi" w:hAnsiTheme="majorHAnsi"/>
                <w:sz w:val="16"/>
                <w:szCs w:val="16"/>
              </w:rPr>
              <w:t xml:space="preserve"> du revenu</w:t>
            </w:r>
          </w:p>
        </w:tc>
      </w:tr>
      <w:tr w:rsidR="0043220A">
        <w:trPr>
          <w:jc w:val="center"/>
        </w:trPr>
        <w:tc>
          <w:tcPr>
            <w:tcW w:w="851" w:type="dxa"/>
            <w:vAlign w:val="center"/>
          </w:tcPr>
          <w:p w:rsidR="0043220A" w:rsidRDefault="0043220A" w:rsidP="0043220A">
            <w:pPr>
              <w:pStyle w:val="BodyTextIndent"/>
              <w:spacing w:after="120"/>
              <w:ind w:right="1" w:firstLine="0"/>
              <w:jc w:val="center"/>
              <w:rPr>
                <w:rFonts w:asciiTheme="majorHAnsi" w:hAnsiTheme="majorHAnsi"/>
              </w:rPr>
            </w:pPr>
            <w:r>
              <w:rPr>
                <w:rFonts w:asciiTheme="majorHAnsi" w:hAnsiTheme="majorHAnsi"/>
              </w:rPr>
              <w:t>0</w:t>
            </w:r>
          </w:p>
        </w:tc>
        <w:tc>
          <w:tcPr>
            <w:tcW w:w="2041" w:type="dxa"/>
            <w:vAlign w:val="center"/>
          </w:tcPr>
          <w:p w:rsidR="0043220A" w:rsidRDefault="0043220A" w:rsidP="00134995">
            <w:pPr>
              <w:pStyle w:val="BodyTextIndent"/>
              <w:spacing w:after="120"/>
              <w:ind w:right="1" w:firstLine="0"/>
              <w:jc w:val="center"/>
              <w:rPr>
                <w:rFonts w:asciiTheme="majorHAnsi" w:hAnsiTheme="majorHAnsi"/>
              </w:rPr>
            </w:pPr>
            <w:r>
              <w:rPr>
                <w:rFonts w:asciiTheme="majorHAnsi" w:hAnsiTheme="majorHAnsi"/>
              </w:rPr>
              <w:t>+ 15</w:t>
            </w:r>
          </w:p>
        </w:tc>
        <w:tc>
          <w:tcPr>
            <w:tcW w:w="2041" w:type="dxa"/>
            <w:vAlign w:val="center"/>
          </w:tcPr>
          <w:p w:rsidR="0043220A" w:rsidRDefault="0043220A" w:rsidP="00134995">
            <w:pPr>
              <w:pStyle w:val="BodyTextIndent"/>
              <w:spacing w:after="120"/>
              <w:ind w:right="1" w:firstLine="0"/>
              <w:jc w:val="center"/>
              <w:rPr>
                <w:rFonts w:asciiTheme="majorHAnsi" w:hAnsiTheme="majorHAnsi"/>
              </w:rPr>
            </w:pPr>
            <w:r>
              <w:rPr>
                <w:rFonts w:asciiTheme="majorHAnsi" w:hAnsiTheme="majorHAnsi"/>
              </w:rPr>
              <w:t>-</w:t>
            </w:r>
          </w:p>
        </w:tc>
        <w:tc>
          <w:tcPr>
            <w:tcW w:w="2041" w:type="dxa"/>
            <w:vAlign w:val="center"/>
          </w:tcPr>
          <w:p w:rsidR="0043220A" w:rsidRDefault="0043220A" w:rsidP="00134995">
            <w:pPr>
              <w:pStyle w:val="BodyTextIndent"/>
              <w:spacing w:after="120"/>
              <w:ind w:right="1" w:firstLine="0"/>
              <w:jc w:val="center"/>
              <w:rPr>
                <w:rFonts w:asciiTheme="majorHAnsi" w:hAnsiTheme="majorHAnsi"/>
              </w:rPr>
            </w:pPr>
            <w:r>
              <w:rPr>
                <w:rFonts w:asciiTheme="majorHAnsi" w:hAnsiTheme="majorHAnsi"/>
              </w:rPr>
              <w:t>-</w:t>
            </w:r>
          </w:p>
        </w:tc>
        <w:tc>
          <w:tcPr>
            <w:tcW w:w="2041" w:type="dxa"/>
            <w:vAlign w:val="center"/>
          </w:tcPr>
          <w:p w:rsidR="0043220A" w:rsidRDefault="0043220A" w:rsidP="00134995">
            <w:pPr>
              <w:pStyle w:val="BodyTextIndent"/>
              <w:spacing w:after="120"/>
              <w:ind w:right="1" w:firstLine="0"/>
              <w:jc w:val="center"/>
              <w:rPr>
                <w:rFonts w:asciiTheme="majorHAnsi" w:hAnsiTheme="majorHAnsi"/>
              </w:rPr>
            </w:pPr>
            <w:r>
              <w:rPr>
                <w:rFonts w:asciiTheme="majorHAnsi" w:hAnsiTheme="majorHAnsi"/>
              </w:rPr>
              <w:t>+ 15</w:t>
            </w:r>
          </w:p>
        </w:tc>
      </w:tr>
      <w:tr w:rsidR="0043220A">
        <w:trPr>
          <w:jc w:val="center"/>
        </w:trPr>
        <w:tc>
          <w:tcPr>
            <w:tcW w:w="851" w:type="dxa"/>
            <w:vAlign w:val="center"/>
          </w:tcPr>
          <w:p w:rsidR="0043220A" w:rsidRDefault="0043220A" w:rsidP="0043220A">
            <w:pPr>
              <w:pStyle w:val="BodyTextIndent"/>
              <w:spacing w:after="120"/>
              <w:ind w:right="1" w:firstLine="0"/>
              <w:jc w:val="center"/>
              <w:rPr>
                <w:rFonts w:asciiTheme="majorHAnsi" w:hAnsiTheme="majorHAnsi"/>
              </w:rPr>
            </w:pPr>
            <w:r>
              <w:rPr>
                <w:rFonts w:asciiTheme="majorHAnsi" w:hAnsiTheme="majorHAnsi"/>
              </w:rPr>
              <w:t>1</w:t>
            </w:r>
          </w:p>
        </w:tc>
        <w:tc>
          <w:tcPr>
            <w:tcW w:w="2041" w:type="dxa"/>
            <w:vAlign w:val="center"/>
          </w:tcPr>
          <w:p w:rsidR="0043220A" w:rsidRDefault="0043220A" w:rsidP="00134995">
            <w:pPr>
              <w:pStyle w:val="BodyTextIndent"/>
              <w:spacing w:after="120"/>
              <w:ind w:right="1" w:firstLine="0"/>
              <w:jc w:val="center"/>
              <w:rPr>
                <w:rFonts w:asciiTheme="majorHAnsi" w:hAnsiTheme="majorHAnsi"/>
              </w:rPr>
            </w:pPr>
            <w:r>
              <w:rPr>
                <w:rFonts w:asciiTheme="majorHAnsi" w:hAnsiTheme="majorHAnsi"/>
              </w:rPr>
              <w:t>0</w:t>
            </w:r>
          </w:p>
        </w:tc>
        <w:tc>
          <w:tcPr>
            <w:tcW w:w="2041" w:type="dxa"/>
            <w:vAlign w:val="center"/>
          </w:tcPr>
          <w:p w:rsidR="0043220A" w:rsidRDefault="0043220A" w:rsidP="00134995">
            <w:pPr>
              <w:pStyle w:val="BodyTextIndent"/>
              <w:spacing w:after="120"/>
              <w:ind w:right="1" w:firstLine="0"/>
              <w:jc w:val="center"/>
              <w:rPr>
                <w:rFonts w:asciiTheme="majorHAnsi" w:hAnsiTheme="majorHAnsi"/>
              </w:rPr>
            </w:pPr>
            <w:r>
              <w:rPr>
                <w:rFonts w:asciiTheme="majorHAnsi" w:hAnsiTheme="majorHAnsi"/>
              </w:rPr>
              <w:t>+ 0,8*15</w:t>
            </w:r>
          </w:p>
        </w:tc>
        <w:tc>
          <w:tcPr>
            <w:tcW w:w="2041" w:type="dxa"/>
            <w:vAlign w:val="center"/>
          </w:tcPr>
          <w:p w:rsidR="0043220A" w:rsidRDefault="0043220A" w:rsidP="00134995">
            <w:pPr>
              <w:pStyle w:val="BodyTextIndent"/>
              <w:spacing w:after="120"/>
              <w:ind w:right="1" w:firstLine="0"/>
              <w:jc w:val="center"/>
              <w:rPr>
                <w:rFonts w:asciiTheme="majorHAnsi" w:hAnsiTheme="majorHAnsi"/>
              </w:rPr>
            </w:pPr>
            <w:r>
              <w:rPr>
                <w:rFonts w:asciiTheme="majorHAnsi" w:hAnsiTheme="majorHAnsi"/>
              </w:rPr>
              <w:t>+</w:t>
            </w:r>
            <w:r w:rsidR="004B0DA3">
              <w:rPr>
                <w:rFonts w:asciiTheme="majorHAnsi" w:hAnsiTheme="majorHAnsi"/>
              </w:rPr>
              <w:t xml:space="preserve"> 0,2*15</w:t>
            </w:r>
          </w:p>
        </w:tc>
        <w:tc>
          <w:tcPr>
            <w:tcW w:w="2041" w:type="dxa"/>
            <w:vAlign w:val="center"/>
          </w:tcPr>
          <w:p w:rsidR="0043220A" w:rsidRDefault="004B0DA3" w:rsidP="00134995">
            <w:pPr>
              <w:pStyle w:val="BodyTextIndent"/>
              <w:spacing w:after="120"/>
              <w:ind w:right="1" w:firstLine="0"/>
              <w:jc w:val="center"/>
              <w:rPr>
                <w:rFonts w:asciiTheme="majorHAnsi" w:hAnsiTheme="majorHAnsi"/>
              </w:rPr>
            </w:pPr>
            <w:r>
              <w:rPr>
                <w:rFonts w:asciiTheme="majorHAnsi" w:hAnsiTheme="majorHAnsi"/>
              </w:rPr>
              <w:t>+ 0,8*15</w:t>
            </w:r>
          </w:p>
        </w:tc>
      </w:tr>
      <w:tr w:rsidR="0043220A">
        <w:trPr>
          <w:jc w:val="center"/>
        </w:trPr>
        <w:tc>
          <w:tcPr>
            <w:tcW w:w="851" w:type="dxa"/>
            <w:vAlign w:val="center"/>
          </w:tcPr>
          <w:p w:rsidR="0043220A" w:rsidRDefault="0043220A" w:rsidP="0043220A">
            <w:pPr>
              <w:pStyle w:val="BodyTextIndent"/>
              <w:spacing w:after="120"/>
              <w:ind w:right="1" w:firstLine="0"/>
              <w:jc w:val="center"/>
              <w:rPr>
                <w:rFonts w:asciiTheme="majorHAnsi" w:hAnsiTheme="majorHAnsi"/>
              </w:rPr>
            </w:pPr>
            <w:r>
              <w:rPr>
                <w:rFonts w:asciiTheme="majorHAnsi" w:hAnsiTheme="majorHAnsi"/>
              </w:rPr>
              <w:t>2</w:t>
            </w:r>
          </w:p>
        </w:tc>
        <w:tc>
          <w:tcPr>
            <w:tcW w:w="2041" w:type="dxa"/>
            <w:vAlign w:val="center"/>
          </w:tcPr>
          <w:p w:rsidR="0043220A" w:rsidRDefault="0043220A" w:rsidP="00134995">
            <w:pPr>
              <w:pStyle w:val="BodyTextIndent"/>
              <w:spacing w:after="120"/>
              <w:ind w:right="1" w:firstLine="0"/>
              <w:jc w:val="center"/>
              <w:rPr>
                <w:rFonts w:asciiTheme="majorHAnsi" w:hAnsiTheme="majorHAnsi"/>
              </w:rPr>
            </w:pPr>
            <w:r>
              <w:rPr>
                <w:rFonts w:asciiTheme="majorHAnsi" w:hAnsiTheme="majorHAnsi"/>
              </w:rPr>
              <w:t>0</w:t>
            </w:r>
          </w:p>
        </w:tc>
        <w:tc>
          <w:tcPr>
            <w:tcW w:w="2041" w:type="dxa"/>
            <w:vAlign w:val="center"/>
          </w:tcPr>
          <w:p w:rsidR="0043220A" w:rsidRDefault="004B0DA3" w:rsidP="00134995">
            <w:pPr>
              <w:pStyle w:val="BodyTextIndent"/>
              <w:spacing w:after="120"/>
              <w:ind w:right="1" w:firstLine="0"/>
              <w:jc w:val="center"/>
              <w:rPr>
                <w:rFonts w:asciiTheme="majorHAnsi" w:hAnsiTheme="majorHAnsi"/>
              </w:rPr>
            </w:pPr>
            <w:r>
              <w:rPr>
                <w:rFonts w:asciiTheme="majorHAnsi" w:hAnsiTheme="majorHAnsi"/>
              </w:rPr>
              <w:t>+ 0,8²*15</w:t>
            </w:r>
          </w:p>
        </w:tc>
        <w:tc>
          <w:tcPr>
            <w:tcW w:w="2041" w:type="dxa"/>
            <w:vAlign w:val="center"/>
          </w:tcPr>
          <w:p w:rsidR="0043220A" w:rsidRDefault="004B0DA3" w:rsidP="00134995">
            <w:pPr>
              <w:pStyle w:val="BodyTextIndent"/>
              <w:spacing w:after="120"/>
              <w:ind w:right="1" w:firstLine="0"/>
              <w:jc w:val="center"/>
              <w:rPr>
                <w:rFonts w:asciiTheme="majorHAnsi" w:hAnsiTheme="majorHAnsi"/>
              </w:rPr>
            </w:pPr>
            <w:r>
              <w:rPr>
                <w:rFonts w:asciiTheme="majorHAnsi" w:hAnsiTheme="majorHAnsi"/>
              </w:rPr>
              <w:t>+ 0,2*(0,8*15)</w:t>
            </w:r>
          </w:p>
        </w:tc>
        <w:tc>
          <w:tcPr>
            <w:tcW w:w="2041" w:type="dxa"/>
            <w:vAlign w:val="center"/>
          </w:tcPr>
          <w:p w:rsidR="0043220A" w:rsidRDefault="004B0DA3" w:rsidP="00134995">
            <w:pPr>
              <w:pStyle w:val="BodyTextIndent"/>
              <w:spacing w:after="120"/>
              <w:ind w:right="1" w:firstLine="0"/>
              <w:jc w:val="center"/>
              <w:rPr>
                <w:rFonts w:asciiTheme="majorHAnsi" w:hAnsiTheme="majorHAnsi"/>
              </w:rPr>
            </w:pPr>
            <w:r>
              <w:rPr>
                <w:rFonts w:asciiTheme="majorHAnsi" w:hAnsiTheme="majorHAnsi"/>
              </w:rPr>
              <w:t>+ 0,8²*15</w:t>
            </w:r>
          </w:p>
        </w:tc>
      </w:tr>
      <w:tr w:rsidR="0043220A">
        <w:trPr>
          <w:jc w:val="center"/>
        </w:trPr>
        <w:tc>
          <w:tcPr>
            <w:tcW w:w="851" w:type="dxa"/>
            <w:vAlign w:val="center"/>
          </w:tcPr>
          <w:p w:rsidR="0043220A" w:rsidRDefault="0043220A" w:rsidP="0043220A">
            <w:pPr>
              <w:pStyle w:val="BodyTextIndent"/>
              <w:spacing w:after="120"/>
              <w:ind w:right="1" w:firstLine="0"/>
              <w:jc w:val="center"/>
              <w:rPr>
                <w:rFonts w:asciiTheme="majorHAnsi" w:hAnsiTheme="majorHAnsi"/>
              </w:rPr>
            </w:pPr>
            <w:r>
              <w:rPr>
                <w:rFonts w:asciiTheme="majorHAnsi" w:hAnsiTheme="majorHAnsi"/>
              </w:rPr>
              <w:t>3</w:t>
            </w:r>
          </w:p>
        </w:tc>
        <w:tc>
          <w:tcPr>
            <w:tcW w:w="2041" w:type="dxa"/>
            <w:vAlign w:val="center"/>
          </w:tcPr>
          <w:p w:rsidR="0043220A" w:rsidRDefault="0043220A" w:rsidP="00134995">
            <w:pPr>
              <w:pStyle w:val="BodyTextIndent"/>
              <w:spacing w:after="120"/>
              <w:ind w:right="1" w:firstLine="0"/>
              <w:jc w:val="center"/>
              <w:rPr>
                <w:rFonts w:asciiTheme="majorHAnsi" w:hAnsiTheme="majorHAnsi"/>
              </w:rPr>
            </w:pPr>
            <w:r>
              <w:rPr>
                <w:rFonts w:asciiTheme="majorHAnsi" w:hAnsiTheme="majorHAnsi"/>
              </w:rPr>
              <w:t>0</w:t>
            </w:r>
          </w:p>
        </w:tc>
        <w:tc>
          <w:tcPr>
            <w:tcW w:w="2041" w:type="dxa"/>
            <w:vAlign w:val="center"/>
          </w:tcPr>
          <w:p w:rsidR="0043220A" w:rsidRDefault="004B0DA3" w:rsidP="00134995">
            <w:pPr>
              <w:pStyle w:val="BodyTextIndent"/>
              <w:spacing w:after="120"/>
              <w:ind w:right="1" w:firstLine="0"/>
              <w:jc w:val="center"/>
              <w:rPr>
                <w:rFonts w:asciiTheme="majorHAnsi" w:hAnsiTheme="majorHAnsi"/>
              </w:rPr>
            </w:pPr>
            <w:r>
              <w:rPr>
                <w:rFonts w:asciiTheme="majorHAnsi" w:hAnsiTheme="majorHAnsi"/>
              </w:rPr>
              <w:t>+ 0,8</w:t>
            </w:r>
            <w:r w:rsidRPr="004B0DA3">
              <w:rPr>
                <w:rFonts w:asciiTheme="majorHAnsi" w:hAnsiTheme="majorHAnsi"/>
                <w:vertAlign w:val="superscript"/>
              </w:rPr>
              <w:t>3</w:t>
            </w:r>
            <w:r>
              <w:rPr>
                <w:rFonts w:asciiTheme="majorHAnsi" w:hAnsiTheme="majorHAnsi"/>
              </w:rPr>
              <w:t>*15</w:t>
            </w:r>
          </w:p>
        </w:tc>
        <w:tc>
          <w:tcPr>
            <w:tcW w:w="2041" w:type="dxa"/>
            <w:vAlign w:val="center"/>
          </w:tcPr>
          <w:p w:rsidR="0043220A" w:rsidRDefault="004B0DA3" w:rsidP="00134995">
            <w:pPr>
              <w:pStyle w:val="BodyTextIndent"/>
              <w:spacing w:after="120"/>
              <w:ind w:right="1" w:firstLine="0"/>
              <w:jc w:val="center"/>
              <w:rPr>
                <w:rFonts w:asciiTheme="majorHAnsi" w:hAnsiTheme="majorHAnsi"/>
              </w:rPr>
            </w:pPr>
            <w:r>
              <w:rPr>
                <w:rFonts w:asciiTheme="majorHAnsi" w:hAnsiTheme="majorHAnsi"/>
              </w:rPr>
              <w:t>+ 0,2*(0,8²*15)</w:t>
            </w:r>
          </w:p>
        </w:tc>
        <w:tc>
          <w:tcPr>
            <w:tcW w:w="2041" w:type="dxa"/>
            <w:vAlign w:val="center"/>
          </w:tcPr>
          <w:p w:rsidR="0043220A" w:rsidRDefault="004B0DA3" w:rsidP="00134995">
            <w:pPr>
              <w:pStyle w:val="BodyTextIndent"/>
              <w:spacing w:after="120"/>
              <w:ind w:right="1" w:firstLine="0"/>
              <w:jc w:val="center"/>
              <w:rPr>
                <w:rFonts w:asciiTheme="majorHAnsi" w:hAnsiTheme="majorHAnsi"/>
              </w:rPr>
            </w:pPr>
            <w:r>
              <w:rPr>
                <w:rFonts w:asciiTheme="majorHAnsi" w:hAnsiTheme="majorHAnsi"/>
              </w:rPr>
              <w:t>+ 0,8</w:t>
            </w:r>
            <w:r w:rsidRPr="004B0DA3">
              <w:rPr>
                <w:rFonts w:asciiTheme="majorHAnsi" w:hAnsiTheme="majorHAnsi"/>
                <w:vertAlign w:val="superscript"/>
              </w:rPr>
              <w:t>3</w:t>
            </w:r>
            <w:r>
              <w:rPr>
                <w:rFonts w:asciiTheme="majorHAnsi" w:hAnsiTheme="majorHAnsi"/>
              </w:rPr>
              <w:t>*15</w:t>
            </w:r>
          </w:p>
        </w:tc>
      </w:tr>
      <w:tr w:rsidR="002A0DFF">
        <w:trPr>
          <w:jc w:val="center"/>
        </w:trPr>
        <w:tc>
          <w:tcPr>
            <w:tcW w:w="851" w:type="dxa"/>
            <w:vAlign w:val="center"/>
          </w:tcPr>
          <w:p w:rsidR="002A0DFF" w:rsidRDefault="002A0DFF" w:rsidP="0043220A">
            <w:pPr>
              <w:pStyle w:val="BodyTextIndent"/>
              <w:spacing w:after="120"/>
              <w:ind w:right="1" w:firstLine="0"/>
              <w:jc w:val="center"/>
              <w:rPr>
                <w:rFonts w:asciiTheme="majorHAnsi" w:hAnsiTheme="majorHAnsi"/>
              </w:rPr>
            </w:pPr>
            <w:r>
              <w:rPr>
                <w:rFonts w:asciiTheme="majorHAnsi" w:hAnsiTheme="majorHAnsi"/>
              </w:rPr>
              <w:t>.........</w:t>
            </w:r>
          </w:p>
        </w:tc>
        <w:tc>
          <w:tcPr>
            <w:tcW w:w="2041" w:type="dxa"/>
            <w:vAlign w:val="center"/>
          </w:tcPr>
          <w:p w:rsidR="002A0DFF" w:rsidRDefault="002A0DFF" w:rsidP="00134995">
            <w:pPr>
              <w:pStyle w:val="BodyTextIndent"/>
              <w:spacing w:after="120"/>
              <w:ind w:right="1" w:firstLine="0"/>
              <w:jc w:val="center"/>
              <w:rPr>
                <w:rFonts w:asciiTheme="majorHAnsi" w:hAnsiTheme="majorHAnsi"/>
              </w:rPr>
            </w:pPr>
            <w:r>
              <w:rPr>
                <w:rFonts w:asciiTheme="majorHAnsi" w:hAnsiTheme="majorHAnsi"/>
              </w:rPr>
              <w:t>.........</w:t>
            </w:r>
          </w:p>
        </w:tc>
        <w:tc>
          <w:tcPr>
            <w:tcW w:w="2041" w:type="dxa"/>
            <w:vAlign w:val="center"/>
          </w:tcPr>
          <w:p w:rsidR="002A0DFF" w:rsidRDefault="002A0DFF" w:rsidP="00134995">
            <w:pPr>
              <w:pStyle w:val="BodyTextIndent"/>
              <w:spacing w:after="120"/>
              <w:ind w:right="1" w:firstLine="0"/>
              <w:jc w:val="center"/>
              <w:rPr>
                <w:rFonts w:asciiTheme="majorHAnsi" w:hAnsiTheme="majorHAnsi"/>
              </w:rPr>
            </w:pPr>
            <w:r>
              <w:rPr>
                <w:rFonts w:asciiTheme="majorHAnsi" w:hAnsiTheme="majorHAnsi"/>
              </w:rPr>
              <w:t>………</w:t>
            </w:r>
          </w:p>
        </w:tc>
        <w:tc>
          <w:tcPr>
            <w:tcW w:w="2041" w:type="dxa"/>
            <w:vAlign w:val="center"/>
          </w:tcPr>
          <w:p w:rsidR="002A0DFF" w:rsidRDefault="002A0DFF" w:rsidP="00134995">
            <w:pPr>
              <w:pStyle w:val="BodyTextIndent"/>
              <w:spacing w:after="120"/>
              <w:ind w:right="1" w:firstLine="0"/>
              <w:jc w:val="center"/>
              <w:rPr>
                <w:rFonts w:asciiTheme="majorHAnsi" w:hAnsiTheme="majorHAnsi"/>
              </w:rPr>
            </w:pPr>
            <w:r>
              <w:rPr>
                <w:rFonts w:asciiTheme="majorHAnsi" w:hAnsiTheme="majorHAnsi"/>
              </w:rPr>
              <w:t>………</w:t>
            </w:r>
          </w:p>
        </w:tc>
        <w:tc>
          <w:tcPr>
            <w:tcW w:w="2041" w:type="dxa"/>
            <w:vAlign w:val="center"/>
          </w:tcPr>
          <w:p w:rsidR="002A0DFF" w:rsidRDefault="002A0DFF" w:rsidP="00134995">
            <w:pPr>
              <w:pStyle w:val="BodyTextIndent"/>
              <w:spacing w:after="120"/>
              <w:ind w:right="1" w:firstLine="0"/>
              <w:jc w:val="center"/>
              <w:rPr>
                <w:rFonts w:asciiTheme="majorHAnsi" w:hAnsiTheme="majorHAnsi"/>
              </w:rPr>
            </w:pPr>
            <w:r>
              <w:rPr>
                <w:rFonts w:asciiTheme="majorHAnsi" w:hAnsiTheme="majorHAnsi"/>
              </w:rPr>
              <w:t>………</w:t>
            </w:r>
          </w:p>
        </w:tc>
      </w:tr>
      <w:tr w:rsidR="0043220A">
        <w:trPr>
          <w:jc w:val="center"/>
        </w:trPr>
        <w:tc>
          <w:tcPr>
            <w:tcW w:w="851" w:type="dxa"/>
            <w:vAlign w:val="center"/>
          </w:tcPr>
          <w:p w:rsidR="0043220A" w:rsidRDefault="0043220A" w:rsidP="0043220A">
            <w:pPr>
              <w:pStyle w:val="BodyTextIndent"/>
              <w:spacing w:after="120"/>
              <w:ind w:right="1" w:firstLine="0"/>
              <w:jc w:val="center"/>
              <w:rPr>
                <w:rFonts w:asciiTheme="majorHAnsi" w:hAnsiTheme="majorHAnsi"/>
              </w:rPr>
            </w:pPr>
            <w:r>
              <w:rPr>
                <w:rFonts w:asciiTheme="majorHAnsi" w:hAnsiTheme="majorHAnsi"/>
              </w:rPr>
              <w:t>n</w:t>
            </w:r>
          </w:p>
        </w:tc>
        <w:tc>
          <w:tcPr>
            <w:tcW w:w="2041" w:type="dxa"/>
            <w:vAlign w:val="center"/>
          </w:tcPr>
          <w:p w:rsidR="0043220A" w:rsidRDefault="0043220A" w:rsidP="00134995">
            <w:pPr>
              <w:pStyle w:val="BodyTextIndent"/>
              <w:spacing w:after="120"/>
              <w:ind w:right="1" w:firstLine="0"/>
              <w:jc w:val="center"/>
              <w:rPr>
                <w:rFonts w:asciiTheme="majorHAnsi" w:hAnsiTheme="majorHAnsi"/>
              </w:rPr>
            </w:pPr>
            <w:r>
              <w:rPr>
                <w:rFonts w:asciiTheme="majorHAnsi" w:hAnsiTheme="majorHAnsi"/>
              </w:rPr>
              <w:t>0</w:t>
            </w:r>
          </w:p>
        </w:tc>
        <w:tc>
          <w:tcPr>
            <w:tcW w:w="2041" w:type="dxa"/>
            <w:vAlign w:val="center"/>
          </w:tcPr>
          <w:p w:rsidR="0043220A" w:rsidRDefault="004B0DA3" w:rsidP="00134995">
            <w:pPr>
              <w:pStyle w:val="BodyTextIndent"/>
              <w:spacing w:after="120"/>
              <w:ind w:right="1" w:firstLine="0"/>
              <w:jc w:val="center"/>
              <w:rPr>
                <w:rFonts w:asciiTheme="majorHAnsi" w:hAnsiTheme="majorHAnsi"/>
              </w:rPr>
            </w:pPr>
            <w:r>
              <w:rPr>
                <w:rFonts w:asciiTheme="majorHAnsi" w:hAnsiTheme="majorHAnsi"/>
              </w:rPr>
              <w:t>+ 0,8</w:t>
            </w:r>
            <w:r w:rsidRPr="004B0DA3">
              <w:rPr>
                <w:rFonts w:asciiTheme="majorHAnsi" w:hAnsiTheme="majorHAnsi"/>
                <w:vertAlign w:val="superscript"/>
              </w:rPr>
              <w:t>n</w:t>
            </w:r>
            <w:r>
              <w:rPr>
                <w:rFonts w:asciiTheme="majorHAnsi" w:hAnsiTheme="majorHAnsi"/>
              </w:rPr>
              <w:t>*15</w:t>
            </w:r>
          </w:p>
        </w:tc>
        <w:tc>
          <w:tcPr>
            <w:tcW w:w="2041" w:type="dxa"/>
            <w:vAlign w:val="center"/>
          </w:tcPr>
          <w:p w:rsidR="0043220A" w:rsidRDefault="004B0DA3" w:rsidP="00134995">
            <w:pPr>
              <w:pStyle w:val="BodyTextIndent"/>
              <w:spacing w:after="120"/>
              <w:ind w:right="1" w:firstLine="0"/>
              <w:jc w:val="center"/>
              <w:rPr>
                <w:rFonts w:asciiTheme="majorHAnsi" w:hAnsiTheme="majorHAnsi"/>
              </w:rPr>
            </w:pPr>
            <w:r>
              <w:rPr>
                <w:rFonts w:asciiTheme="majorHAnsi" w:hAnsiTheme="majorHAnsi"/>
              </w:rPr>
              <w:t>+ 0,2*(0,8</w:t>
            </w:r>
            <w:r w:rsidRPr="004B0DA3">
              <w:rPr>
                <w:rFonts w:asciiTheme="majorHAnsi" w:hAnsiTheme="majorHAnsi"/>
                <w:vertAlign w:val="superscript"/>
              </w:rPr>
              <w:t>n-1</w:t>
            </w:r>
            <w:r>
              <w:rPr>
                <w:rFonts w:asciiTheme="majorHAnsi" w:hAnsiTheme="majorHAnsi"/>
              </w:rPr>
              <w:t>*15)</w:t>
            </w:r>
          </w:p>
        </w:tc>
        <w:tc>
          <w:tcPr>
            <w:tcW w:w="2041" w:type="dxa"/>
            <w:vAlign w:val="center"/>
          </w:tcPr>
          <w:p w:rsidR="0043220A" w:rsidRDefault="004B0DA3" w:rsidP="002A0DFF">
            <w:pPr>
              <w:pStyle w:val="BodyTextIndent"/>
              <w:spacing w:after="120"/>
              <w:ind w:right="1" w:firstLine="0"/>
              <w:jc w:val="center"/>
              <w:rPr>
                <w:rFonts w:asciiTheme="majorHAnsi" w:hAnsiTheme="majorHAnsi"/>
              </w:rPr>
            </w:pPr>
            <w:r>
              <w:rPr>
                <w:rFonts w:asciiTheme="majorHAnsi" w:hAnsiTheme="majorHAnsi"/>
              </w:rPr>
              <w:t>+ 0,8</w:t>
            </w:r>
            <w:r w:rsidRPr="004B0DA3">
              <w:rPr>
                <w:rFonts w:asciiTheme="majorHAnsi" w:hAnsiTheme="majorHAnsi"/>
                <w:vertAlign w:val="superscript"/>
              </w:rPr>
              <w:t>n</w:t>
            </w:r>
            <w:r>
              <w:rPr>
                <w:rFonts w:asciiTheme="majorHAnsi" w:hAnsiTheme="majorHAnsi"/>
              </w:rPr>
              <w:t>*15</w:t>
            </w:r>
          </w:p>
        </w:tc>
      </w:tr>
    </w:tbl>
    <w:p w:rsidR="0043220A" w:rsidRDefault="0043220A" w:rsidP="00234D05">
      <w:pPr>
        <w:pStyle w:val="BodyTextIndent"/>
        <w:spacing w:after="120"/>
        <w:ind w:right="1" w:firstLine="0"/>
        <w:rPr>
          <w:rFonts w:asciiTheme="majorHAnsi" w:hAnsiTheme="majorHAnsi"/>
        </w:rPr>
      </w:pPr>
    </w:p>
    <w:p w:rsidR="004B0DA3" w:rsidRDefault="004B0DA3" w:rsidP="002A0DFF">
      <w:pPr>
        <w:pStyle w:val="BodyTextIndent"/>
        <w:spacing w:after="120"/>
        <w:ind w:right="1"/>
        <w:rPr>
          <w:rFonts w:asciiTheme="majorHAnsi" w:hAnsiTheme="majorHAnsi"/>
        </w:rPr>
      </w:pPr>
      <w:r>
        <w:rPr>
          <w:rFonts w:asciiTheme="majorHAnsi" w:hAnsiTheme="majorHAnsi"/>
        </w:rPr>
        <w:t>A la période 0, l’augmentation des investissements de 15 Mrds (= augmentation de la demande globale) entraîne un accroissement de la production (le PIB) et du revenu des ménages de 15 Mrds également.</w:t>
      </w:r>
    </w:p>
    <w:p w:rsidR="00C23BD1" w:rsidRDefault="004B0DA3" w:rsidP="002A0DFF">
      <w:pPr>
        <w:pStyle w:val="BodyTextIndent"/>
        <w:spacing w:after="120"/>
        <w:ind w:right="1"/>
        <w:rPr>
          <w:rFonts w:asciiTheme="majorHAnsi" w:hAnsiTheme="majorHAnsi"/>
        </w:rPr>
      </w:pPr>
      <w:r>
        <w:rPr>
          <w:rFonts w:asciiTheme="majorHAnsi" w:hAnsiTheme="majorHAnsi"/>
        </w:rPr>
        <w:t xml:space="preserve">Les ménages enregistrent en période 1 cette augmentation de revenu, et </w:t>
      </w:r>
      <w:r w:rsidR="00134995">
        <w:rPr>
          <w:rFonts w:asciiTheme="majorHAnsi" w:hAnsiTheme="majorHAnsi"/>
        </w:rPr>
        <w:t xml:space="preserve">en consacrent 80% à une augmentation de leur consommation, ce qui entraîne de nouveau un accroissement de la production de même montant, et les 20% restants à une augmentation de leur épargne. </w:t>
      </w:r>
    </w:p>
    <w:p w:rsidR="00134995" w:rsidRDefault="00134995" w:rsidP="002A0DFF">
      <w:pPr>
        <w:pStyle w:val="BodyTextIndent"/>
        <w:spacing w:after="120"/>
        <w:ind w:right="1"/>
        <w:rPr>
          <w:rFonts w:asciiTheme="majorHAnsi" w:hAnsiTheme="majorHAnsi"/>
        </w:rPr>
      </w:pPr>
      <w:r>
        <w:rPr>
          <w:rFonts w:asciiTheme="majorHAnsi" w:hAnsiTheme="majorHAnsi"/>
        </w:rPr>
        <w:t xml:space="preserve">A chaque période, l’augmentation du revenu des ménages entraîne </w:t>
      </w:r>
      <w:r w:rsidR="002A0DFF">
        <w:rPr>
          <w:rFonts w:asciiTheme="majorHAnsi" w:hAnsiTheme="majorHAnsi"/>
        </w:rPr>
        <w:t xml:space="preserve">ainsi </w:t>
      </w:r>
      <w:r>
        <w:rPr>
          <w:rFonts w:asciiTheme="majorHAnsi" w:hAnsiTheme="majorHAnsi"/>
        </w:rPr>
        <w:t xml:space="preserve">une augmentation de leur consommation et une augmentation </w:t>
      </w:r>
      <w:r w:rsidRPr="002A0DFF">
        <w:rPr>
          <w:rFonts w:asciiTheme="majorHAnsi" w:hAnsiTheme="majorHAnsi"/>
          <w:b/>
          <w:i/>
        </w:rPr>
        <w:t>simultanée</w:t>
      </w:r>
      <w:r>
        <w:rPr>
          <w:rFonts w:asciiTheme="majorHAnsi" w:hAnsiTheme="majorHAnsi"/>
        </w:rPr>
        <w:t xml:space="preserve"> de leur épargne (dans les proportions 80/20).</w:t>
      </w:r>
    </w:p>
    <w:p w:rsidR="00134995" w:rsidRDefault="00134995" w:rsidP="002A0DFF">
      <w:pPr>
        <w:pStyle w:val="BodyTextIndent"/>
        <w:spacing w:after="120"/>
        <w:ind w:right="1"/>
        <w:rPr>
          <w:rFonts w:asciiTheme="majorHAnsi" w:hAnsiTheme="majorHAnsi"/>
        </w:rPr>
      </w:pPr>
      <w:r>
        <w:rPr>
          <w:rFonts w:asciiTheme="majorHAnsi" w:hAnsiTheme="majorHAnsi"/>
        </w:rPr>
        <w:t>A la fin de la n</w:t>
      </w:r>
      <w:r w:rsidRPr="00134995">
        <w:rPr>
          <w:rFonts w:asciiTheme="majorHAnsi" w:hAnsiTheme="majorHAnsi"/>
          <w:vertAlign w:val="superscript"/>
        </w:rPr>
        <w:t>ème</w:t>
      </w:r>
      <w:r>
        <w:rPr>
          <w:rFonts w:asciiTheme="majorHAnsi" w:hAnsiTheme="majorHAnsi"/>
        </w:rPr>
        <w:t xml:space="preserve">  période, la somme </w:t>
      </w:r>
      <w:r w:rsidR="006523C3">
        <w:rPr>
          <w:rFonts w:asciiTheme="majorHAnsi" w:hAnsiTheme="majorHAnsi"/>
        </w:rPr>
        <w:t>des augmentations successives du</w:t>
      </w:r>
      <w:r>
        <w:rPr>
          <w:rFonts w:asciiTheme="majorHAnsi" w:hAnsiTheme="majorHAnsi"/>
        </w:rPr>
        <w:t xml:space="preserve"> revenu est égale à</w:t>
      </w:r>
      <w:r w:rsidR="00B36D8E">
        <w:rPr>
          <w:rFonts w:asciiTheme="majorHAnsi" w:hAnsiTheme="majorHAnsi"/>
        </w:rPr>
        <w:t> </w:t>
      </w:r>
      <w:r>
        <w:rPr>
          <w:rFonts w:asciiTheme="majorHAnsi" w:hAnsiTheme="majorHAnsi"/>
        </w:rPr>
        <w:t>:</w:t>
      </w:r>
    </w:p>
    <w:p w:rsidR="00134995" w:rsidRDefault="00E22497" w:rsidP="00234D05">
      <w:pPr>
        <w:pStyle w:val="BodyTextIndent"/>
        <w:spacing w:after="120"/>
        <w:ind w:right="1" w:firstLine="0"/>
        <w:rPr>
          <w:rFonts w:asciiTheme="majorHAnsi" w:hAnsiTheme="majorHAnsi"/>
        </w:rPr>
      </w:pPr>
      <m:oMathPara>
        <m:oMath>
          <m:nary>
            <m:naryPr>
              <m:chr m:val="∑"/>
              <m:limLoc m:val="undOvr"/>
              <m:ctrlPr>
                <w:rPr>
                  <w:rFonts w:ascii="Cambria Math" w:hAnsi="Cambria Math"/>
                  <w:i/>
                </w:rPr>
              </m:ctrlPr>
            </m:naryPr>
            <m:sub>
              <m:r>
                <w:rPr>
                  <w:rFonts w:ascii="Cambria Math" w:hAnsi="Cambria Math"/>
                </w:rPr>
                <m:t>i</m:t>
              </m:r>
              <m:r>
                <w:rPr>
                  <w:rFonts w:ascii="Cambria Math" w:hAnsi="Cambria Math"/>
                </w:rPr>
                <m:t>=0</m:t>
              </m:r>
            </m:sub>
            <m:sup>
              <m:r>
                <w:rPr>
                  <w:rFonts w:ascii="Cambria Math" w:hAnsi="Cambria Math"/>
                </w:rPr>
                <m:t>n</m:t>
              </m:r>
            </m:sup>
            <m:e>
              <m:r>
                <w:rPr>
                  <w:rFonts w:ascii="Cambria Math" w:hAnsi="Cambria Math"/>
                </w:rPr>
                <m:t>Yi</m:t>
              </m:r>
              <m:r>
                <w:rPr>
                  <w:rFonts w:ascii="Cambria Math" w:hAnsi="Cambria Math"/>
                </w:rPr>
                <m:t>=</m:t>
              </m:r>
              <m:r>
                <m:rPr>
                  <m:sty m:val="p"/>
                </m:rPr>
                <w:rPr>
                  <w:rFonts w:ascii="Cambria Math" w:hAnsi="Cambria Math"/>
                </w:rPr>
                <m:t xml:space="preserve">15+ 0,8*15+ </m:t>
              </m:r>
              <m:sSup>
                <m:sSupPr>
                  <m:ctrlPr>
                    <w:rPr>
                      <w:rFonts w:ascii="Cambria Math" w:hAnsi="Cambria Math"/>
                    </w:rPr>
                  </m:ctrlPr>
                </m:sSupPr>
                <m:e>
                  <m:r>
                    <m:rPr>
                      <m:sty m:val="p"/>
                    </m:rPr>
                    <w:rPr>
                      <w:rFonts w:ascii="Cambria Math" w:hAnsi="Cambria Math"/>
                    </w:rPr>
                    <m:t>0,8</m:t>
                  </m:r>
                </m:e>
                <m:sup>
                  <m:r>
                    <m:rPr>
                      <m:sty m:val="p"/>
                    </m:rPr>
                    <w:rPr>
                      <w:rFonts w:ascii="Cambria Math" w:hAnsi="Cambria Math"/>
                    </w:rPr>
                    <m:t>2</m:t>
                  </m:r>
                </m:sup>
              </m:sSup>
              <m:r>
                <m:rPr>
                  <m:sty m:val="p"/>
                </m:rPr>
                <w:rPr>
                  <w:rFonts w:ascii="Cambria Math" w:hAnsi="Cambria Math"/>
                </w:rPr>
                <m:t>*15+ 0,8</m:t>
              </m:r>
              <m:r>
                <m:rPr>
                  <m:sty m:val="p"/>
                </m:rPr>
                <w:rPr>
                  <w:rFonts w:ascii="Cambria Math" w:hAnsi="Cambria Math"/>
                  <w:vertAlign w:val="superscript"/>
                </w:rPr>
                <m:t>3</m:t>
              </m:r>
              <m:r>
                <m:rPr>
                  <m:sty m:val="p"/>
                </m:rPr>
                <w:rPr>
                  <w:rFonts w:ascii="Cambria Math" w:hAnsi="Cambria Math"/>
                </w:rPr>
                <m:t xml:space="preserve">*15+… </m:t>
              </m:r>
              <m:sSup>
                <m:sSupPr>
                  <m:ctrlPr>
                    <w:rPr>
                      <w:rFonts w:ascii="Cambria Math" w:hAnsi="Cambria Math"/>
                    </w:rPr>
                  </m:ctrlPr>
                </m:sSupPr>
                <m:e>
                  <m:r>
                    <m:rPr>
                      <m:sty m:val="p"/>
                    </m:rPr>
                    <w:rPr>
                      <w:rFonts w:ascii="Cambria Math" w:hAnsi="Cambria Math"/>
                    </w:rPr>
                    <m:t>0,8</m:t>
                  </m:r>
                </m:e>
                <m:sup>
                  <m:r>
                    <m:rPr>
                      <m:sty m:val="p"/>
                    </m:rPr>
                    <w:rPr>
                      <w:rFonts w:ascii="Cambria Math" w:hAnsi="Cambria Math"/>
                    </w:rPr>
                    <m:t>n</m:t>
                  </m:r>
                </m:sup>
              </m:sSup>
              <m:r>
                <m:rPr>
                  <m:sty m:val="p"/>
                </m:rPr>
                <w:rPr>
                  <w:rFonts w:ascii="Cambria Math" w:hAnsi="Cambria Math"/>
                </w:rPr>
                <m:t>*15</m:t>
              </m:r>
              <m:r>
                <w:rPr>
                  <w:rFonts w:ascii="Cambria Math" w:hAnsi="Cambria Math"/>
                </w:rPr>
                <m:t xml:space="preserve"> </m:t>
              </m:r>
            </m:e>
          </m:nary>
        </m:oMath>
      </m:oMathPara>
    </w:p>
    <w:p w:rsidR="00134995" w:rsidRDefault="00E22497" w:rsidP="00134995">
      <w:pPr>
        <w:pStyle w:val="BodyTextIndent"/>
        <w:spacing w:after="120"/>
        <w:ind w:right="1" w:firstLine="0"/>
        <w:rPr>
          <w:rFonts w:asciiTheme="majorHAnsi" w:hAnsiTheme="majorHAnsi"/>
        </w:rPr>
      </w:pPr>
      <m:oMathPara>
        <m:oMath>
          <m:nary>
            <m:naryPr>
              <m:chr m:val="∑"/>
              <m:limLoc m:val="undOvr"/>
              <m:ctrlPr>
                <w:rPr>
                  <w:rFonts w:ascii="Cambria Math" w:hAnsi="Cambria Math"/>
                  <w:i/>
                </w:rPr>
              </m:ctrlPr>
            </m:naryPr>
            <m:sub>
              <m:r>
                <w:rPr>
                  <w:rFonts w:ascii="Cambria Math" w:hAnsi="Cambria Math"/>
                </w:rPr>
                <m:t>i</m:t>
              </m:r>
              <m:r>
                <w:rPr>
                  <w:rFonts w:ascii="Cambria Math" w:hAnsi="Cambria Math"/>
                </w:rPr>
                <m:t>=0</m:t>
              </m:r>
            </m:sub>
            <m:sup>
              <m:r>
                <w:rPr>
                  <w:rFonts w:ascii="Cambria Math" w:hAnsi="Cambria Math"/>
                </w:rPr>
                <m:t>n</m:t>
              </m:r>
            </m:sup>
            <m:e>
              <m:r>
                <w:rPr>
                  <w:rFonts w:ascii="Cambria Math" w:hAnsi="Cambria Math"/>
                </w:rPr>
                <m:t>Yi</m:t>
              </m:r>
              <m:r>
                <w:rPr>
                  <w:rFonts w:ascii="Cambria Math" w:hAnsi="Cambria Math"/>
                </w:rPr>
                <m:t>=</m:t>
              </m:r>
              <m:r>
                <m:rPr>
                  <m:sty m:val="p"/>
                </m:rPr>
                <w:rPr>
                  <w:rFonts w:ascii="Cambria Math" w:hAnsi="Cambria Math"/>
                </w:rPr>
                <m:t xml:space="preserve">15*(1+0,8+ </m:t>
              </m:r>
              <m:sSup>
                <m:sSupPr>
                  <m:ctrlPr>
                    <w:rPr>
                      <w:rFonts w:ascii="Cambria Math" w:hAnsi="Cambria Math"/>
                    </w:rPr>
                  </m:ctrlPr>
                </m:sSupPr>
                <m:e>
                  <m:r>
                    <m:rPr>
                      <m:sty m:val="p"/>
                    </m:rPr>
                    <w:rPr>
                      <w:rFonts w:ascii="Cambria Math" w:hAnsi="Cambria Math"/>
                    </w:rPr>
                    <m:t>0,8</m:t>
                  </m:r>
                </m:e>
                <m:sup>
                  <m:r>
                    <m:rPr>
                      <m:sty m:val="p"/>
                    </m:rPr>
                    <w:rPr>
                      <w:rFonts w:ascii="Cambria Math" w:hAnsi="Cambria Math"/>
                    </w:rPr>
                    <m:t>2</m:t>
                  </m:r>
                </m:sup>
              </m:sSup>
              <m:r>
                <m:rPr>
                  <m:sty m:val="p"/>
                </m:rPr>
                <w:rPr>
                  <w:rFonts w:ascii="Cambria Math" w:hAnsi="Cambria Math"/>
                </w:rPr>
                <m:t>+ 0,8</m:t>
              </m:r>
              <m:r>
                <m:rPr>
                  <m:sty m:val="p"/>
                </m:rPr>
                <w:rPr>
                  <w:rFonts w:ascii="Cambria Math" w:hAnsi="Cambria Math"/>
                  <w:vertAlign w:val="superscript"/>
                </w:rPr>
                <m:t>3</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0,8</m:t>
                  </m:r>
                </m:e>
                <m:sup>
                  <m:r>
                    <m:rPr>
                      <m:sty m:val="p"/>
                    </m:rPr>
                    <w:rPr>
                      <w:rFonts w:ascii="Cambria Math" w:hAnsi="Cambria Math"/>
                    </w:rPr>
                    <m:t>n</m:t>
                  </m:r>
                </m:sup>
              </m:sSup>
              <m:r>
                <m:rPr>
                  <m:sty m:val="p"/>
                </m:rPr>
                <w:rPr>
                  <w:rFonts w:ascii="Cambria Math" w:hAnsi="Cambria Math"/>
                </w:rPr>
                <m:t>)</m:t>
              </m:r>
            </m:e>
          </m:nary>
        </m:oMath>
      </m:oMathPara>
    </w:p>
    <w:p w:rsidR="00134995" w:rsidRDefault="00E22497" w:rsidP="00134995">
      <w:pPr>
        <w:pStyle w:val="BodyTextIndent"/>
        <w:spacing w:after="120"/>
        <w:ind w:right="1" w:firstLine="0"/>
        <w:rPr>
          <w:rFonts w:asciiTheme="majorHAnsi" w:hAnsiTheme="majorHAnsi"/>
        </w:rPr>
      </w:pPr>
      <m:oMathPara>
        <m:oMath>
          <m:nary>
            <m:naryPr>
              <m:chr m:val="∑"/>
              <m:limLoc m:val="undOvr"/>
              <m:ctrlPr>
                <w:rPr>
                  <w:rFonts w:ascii="Cambria Math" w:hAnsi="Cambria Math"/>
                  <w:i/>
                </w:rPr>
              </m:ctrlPr>
            </m:naryPr>
            <m:sub>
              <m:r>
                <w:rPr>
                  <w:rFonts w:ascii="Cambria Math" w:hAnsi="Cambria Math"/>
                </w:rPr>
                <m:t>i</m:t>
              </m:r>
              <m:r>
                <w:rPr>
                  <w:rFonts w:ascii="Cambria Math" w:hAnsi="Cambria Math"/>
                </w:rPr>
                <m:t>=0</m:t>
              </m:r>
            </m:sub>
            <m:sup>
              <m:r>
                <w:rPr>
                  <w:rFonts w:ascii="Cambria Math" w:hAnsi="Cambria Math"/>
                </w:rPr>
                <m:t>n</m:t>
              </m:r>
            </m:sup>
            <m:e>
              <m:r>
                <w:rPr>
                  <w:rFonts w:ascii="Cambria Math" w:hAnsi="Cambria Math"/>
                </w:rPr>
                <m:t>Yi</m:t>
              </m:r>
              <m:r>
                <w:rPr>
                  <w:rFonts w:ascii="Cambria Math" w:hAnsi="Cambria Math"/>
                </w:rPr>
                <m:t>=</m:t>
              </m:r>
              <m:r>
                <m:rPr>
                  <m:sty m:val="p"/>
                </m:rPr>
                <w:rPr>
                  <w:rFonts w:ascii="Cambria Math" w:hAnsi="Cambria Math"/>
                </w:rPr>
                <m:t>15*</m:t>
              </m:r>
              <m:d>
                <m:dPr>
                  <m:ctrlPr>
                    <w:rPr>
                      <w:rFonts w:ascii="Cambria Math" w:hAnsi="Cambria Math"/>
                    </w:rPr>
                  </m:ctrlPr>
                </m:dPr>
                <m:e>
                  <m:f>
                    <m:fPr>
                      <m:ctrlPr>
                        <w:rPr>
                          <w:rFonts w:ascii="Cambria Math" w:hAnsi="Cambria Math"/>
                        </w:rPr>
                      </m:ctrlPr>
                    </m:fPr>
                    <m:num>
                      <m:r>
                        <m:rPr>
                          <m:sty m:val="p"/>
                        </m:rPr>
                        <w:rPr>
                          <w:rFonts w:ascii="Cambria Math" w:hAnsi="Cambria Math"/>
                        </w:rPr>
                        <m:t xml:space="preserve">1- </m:t>
                      </m:r>
                      <m:sSup>
                        <m:sSupPr>
                          <m:ctrlPr>
                            <w:rPr>
                              <w:rFonts w:ascii="Cambria Math" w:hAnsi="Cambria Math"/>
                            </w:rPr>
                          </m:ctrlPr>
                        </m:sSupPr>
                        <m:e>
                          <m:r>
                            <m:rPr>
                              <m:sty m:val="p"/>
                            </m:rPr>
                            <w:rPr>
                              <w:rFonts w:ascii="Cambria Math" w:hAnsi="Cambria Math"/>
                            </w:rPr>
                            <m:t>0,8</m:t>
                          </m:r>
                        </m:e>
                        <m:sup>
                          <m:r>
                            <m:rPr>
                              <m:sty m:val="p"/>
                            </m:rPr>
                            <w:rPr>
                              <w:rFonts w:ascii="Cambria Math" w:hAnsi="Cambria Math"/>
                            </w:rPr>
                            <m:t>n+1</m:t>
                          </m:r>
                        </m:sup>
                      </m:sSup>
                    </m:num>
                    <m:den>
                      <m:r>
                        <m:rPr>
                          <m:sty m:val="p"/>
                        </m:rPr>
                        <w:rPr>
                          <w:rFonts w:ascii="Cambria Math" w:hAnsi="Cambria Math"/>
                        </w:rPr>
                        <m:t>1-0,8</m:t>
                      </m:r>
                    </m:den>
                  </m:f>
                </m:e>
              </m:d>
            </m:e>
          </m:nary>
        </m:oMath>
      </m:oMathPara>
    </w:p>
    <w:p w:rsidR="00134995" w:rsidRDefault="006523C3" w:rsidP="006523C3">
      <w:pPr>
        <w:pStyle w:val="BodyTextIndent"/>
        <w:spacing w:after="120"/>
        <w:ind w:right="1" w:firstLine="284"/>
        <w:rPr>
          <w:rFonts w:asciiTheme="majorHAnsi" w:hAnsiTheme="majorHAnsi"/>
        </w:rPr>
      </w:pPr>
      <w:r>
        <w:rPr>
          <w:rFonts w:asciiTheme="majorHAnsi" w:hAnsiTheme="majorHAnsi"/>
        </w:rPr>
        <w:t>Lorsque n tend vers l’infini, 0,8</w:t>
      </w:r>
      <w:r w:rsidRPr="006523C3">
        <w:rPr>
          <w:rFonts w:asciiTheme="majorHAnsi" w:hAnsiTheme="majorHAnsi"/>
          <w:vertAlign w:val="superscript"/>
        </w:rPr>
        <w:t xml:space="preserve">n+1 </w:t>
      </w:r>
      <w:r>
        <w:rPr>
          <w:rFonts w:asciiTheme="majorHAnsi" w:hAnsiTheme="majorHAnsi"/>
        </w:rPr>
        <w:t>tend vers 0, et la somme des augmentations de revenu tend vers</w:t>
      </w:r>
      <w:r w:rsidR="00B36D8E">
        <w:rPr>
          <w:rFonts w:asciiTheme="majorHAnsi" w:hAnsiTheme="majorHAnsi"/>
        </w:rPr>
        <w:t> </w:t>
      </w:r>
      <w:r>
        <w:rPr>
          <w:rFonts w:asciiTheme="majorHAnsi" w:hAnsiTheme="majorHAnsi"/>
        </w:rPr>
        <w:t xml:space="preserve">: </w:t>
      </w:r>
    </w:p>
    <w:p w:rsidR="006523C3" w:rsidRDefault="00E22497" w:rsidP="006523C3">
      <w:pPr>
        <w:pStyle w:val="BodyTextIndent"/>
        <w:spacing w:after="120"/>
        <w:ind w:right="1" w:firstLine="0"/>
        <w:rPr>
          <w:rFonts w:asciiTheme="majorHAnsi" w:hAnsiTheme="majorHAnsi"/>
        </w:rPr>
      </w:pPr>
      <m:oMathPara>
        <m:oMath>
          <m:nary>
            <m:naryPr>
              <m:chr m:val="∑"/>
              <m:limLoc m:val="undOvr"/>
              <m:ctrlPr>
                <w:rPr>
                  <w:rFonts w:ascii="Cambria Math" w:hAnsi="Cambria Math"/>
                  <w:i/>
                </w:rPr>
              </m:ctrlPr>
            </m:naryPr>
            <m:sub>
              <m:r>
                <w:rPr>
                  <w:rFonts w:ascii="Cambria Math" w:hAnsi="Cambria Math"/>
                </w:rPr>
                <m:t>i</m:t>
              </m:r>
              <m:r>
                <w:rPr>
                  <w:rFonts w:ascii="Cambria Math" w:hAnsi="Cambria Math"/>
                </w:rPr>
                <m:t>=0</m:t>
              </m:r>
            </m:sub>
            <m:sup>
              <m:r>
                <w:rPr>
                  <w:rFonts w:ascii="Cambria Math" w:hAnsi="Cambria Math"/>
                </w:rPr>
                <m:t>n</m:t>
              </m:r>
            </m:sup>
            <m:e>
              <m:r>
                <w:rPr>
                  <w:rFonts w:ascii="Cambria Math" w:hAnsi="Cambria Math"/>
                </w:rPr>
                <m:t>Yi</m:t>
              </m:r>
              <m:r>
                <w:rPr>
                  <w:rFonts w:ascii="Cambria Math" w:hAnsi="Cambria Math"/>
                </w:rPr>
                <m:t>=</m:t>
              </m:r>
              <m:r>
                <m:rPr>
                  <m:sty m:val="p"/>
                </m:rPr>
                <w:rPr>
                  <w:rFonts w:ascii="Cambria Math" w:hAnsi="Cambria Math"/>
                </w:rPr>
                <m:t>15*</m:t>
              </m:r>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1-0,8</m:t>
                      </m:r>
                    </m:den>
                  </m:f>
                </m:e>
              </m:d>
            </m:e>
          </m:nary>
          <m:r>
            <w:rPr>
              <w:rFonts w:ascii="Cambria Math" w:hAnsi="Cambria Math"/>
            </w:rPr>
            <m:t>=75</m:t>
          </m:r>
        </m:oMath>
      </m:oMathPara>
    </w:p>
    <w:p w:rsidR="007E3A61" w:rsidRDefault="007E3A61" w:rsidP="007E3A61">
      <w:pPr>
        <w:pStyle w:val="BodyTextIndent"/>
        <w:ind w:left="360" w:right="-1" w:firstLine="0"/>
        <w:rPr>
          <w:rFonts w:asciiTheme="majorHAnsi" w:hAnsiTheme="majorHAnsi"/>
        </w:rPr>
      </w:pPr>
      <w:r w:rsidRPr="005065D9">
        <w:rPr>
          <w:rFonts w:asciiTheme="majorHAnsi" w:hAnsiTheme="majorHAnsi"/>
        </w:rPr>
        <w:t>L</w:t>
      </w:r>
      <w:r>
        <w:rPr>
          <w:rFonts w:asciiTheme="majorHAnsi" w:hAnsiTheme="majorHAnsi"/>
        </w:rPr>
        <w:t>’augmentation du PIB est donc bien égale à l’</w:t>
      </w:r>
      <w:r w:rsidRPr="005065D9">
        <w:rPr>
          <w:rFonts w:asciiTheme="majorHAnsi" w:hAnsiTheme="majorHAnsi"/>
        </w:rPr>
        <w:t>augmentation des investissements (de 15 milliards d’€)</w:t>
      </w:r>
      <w:r>
        <w:rPr>
          <w:rFonts w:asciiTheme="majorHAnsi" w:hAnsiTheme="majorHAnsi"/>
        </w:rPr>
        <w:t>, multipliée par l’inverse de la propension marginale à épargner des ménages, c’est-à-dire par 5.</w:t>
      </w:r>
    </w:p>
    <w:p w:rsidR="007E3A61" w:rsidRPr="005065D9" w:rsidRDefault="00E22497" w:rsidP="007E3A61">
      <w:pPr>
        <w:pStyle w:val="BodyTextIndent"/>
        <w:ind w:left="360" w:right="-1" w:firstLine="0"/>
        <w:rPr>
          <w:rFonts w:asciiTheme="majorHAnsi" w:hAnsiTheme="majorHAnsi"/>
        </w:rPr>
      </w:pPr>
      <m:oMathPara>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 1900+ 15*5=1900+75=1975</m:t>
          </m:r>
        </m:oMath>
      </m:oMathPara>
    </w:p>
    <w:sectPr w:rsidR="007E3A61" w:rsidRPr="005065D9" w:rsidSect="00FD43E5">
      <w:headerReference w:type="default"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E53CA" w:rsidRDefault="003E53CA" w:rsidP="002A7130">
      <w:r>
        <w:separator/>
      </w:r>
    </w:p>
  </w:endnote>
  <w:endnote w:type="continuationSeparator" w:id="1">
    <w:p w:rsidR="003E53CA" w:rsidRDefault="003E53CA" w:rsidP="002A7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3"/>
    </w:tblGrid>
    <w:tr w:rsidR="003E53CA">
      <w:tc>
        <w:tcPr>
          <w:tcW w:w="918" w:type="dxa"/>
        </w:tcPr>
        <w:p w:rsidR="003E53CA" w:rsidRPr="00146F7F" w:rsidRDefault="00E22497">
          <w:pPr>
            <w:pStyle w:val="Footer"/>
            <w:jc w:val="right"/>
            <w:rPr>
              <w:b/>
              <w:color w:val="4F81BD" w:themeColor="accent1"/>
              <w:sz w:val="16"/>
              <w:szCs w:val="16"/>
            </w:rPr>
          </w:pPr>
          <w:fldSimple w:instr=" PAGE   \* MERGEFORMAT ">
            <w:r w:rsidR="00890826" w:rsidRPr="00890826">
              <w:rPr>
                <w:b/>
                <w:noProof/>
                <w:color w:val="4F81BD" w:themeColor="accent1"/>
                <w:sz w:val="16"/>
                <w:szCs w:val="16"/>
              </w:rPr>
              <w:t>9</w:t>
            </w:r>
          </w:fldSimple>
        </w:p>
      </w:tc>
      <w:tc>
        <w:tcPr>
          <w:tcW w:w="7938" w:type="dxa"/>
        </w:tcPr>
        <w:p w:rsidR="003E53CA" w:rsidRDefault="003E53CA">
          <w:pPr>
            <w:pStyle w:val="Footer"/>
          </w:pPr>
        </w:p>
      </w:tc>
    </w:tr>
  </w:tbl>
  <w:p w:rsidR="003E53CA" w:rsidRDefault="003E53CA">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E53CA" w:rsidRDefault="003E53CA" w:rsidP="002A7130">
      <w:r>
        <w:separator/>
      </w:r>
    </w:p>
  </w:footnote>
  <w:footnote w:type="continuationSeparator" w:id="1">
    <w:p w:rsidR="003E53CA" w:rsidRDefault="003E53CA" w:rsidP="002A7130">
      <w:r>
        <w:continuationSeparator/>
      </w:r>
    </w:p>
  </w:footnote>
  <w:footnote w:id="2">
    <w:p w:rsidR="003E53CA" w:rsidRPr="00AB74EF" w:rsidRDefault="003E53CA" w:rsidP="00356247">
      <w:pPr>
        <w:pStyle w:val="BodyTextIndent"/>
        <w:shd w:val="clear" w:color="auto" w:fill="D9D9D9" w:themeFill="background1" w:themeFillShade="D9"/>
        <w:tabs>
          <w:tab w:val="num" w:pos="987"/>
        </w:tabs>
        <w:ind w:right="1"/>
        <w:rPr>
          <w:rFonts w:asciiTheme="majorHAnsi" w:hAnsiTheme="majorHAnsi"/>
          <w:sz w:val="18"/>
          <w:szCs w:val="18"/>
        </w:rPr>
      </w:pPr>
      <w:r>
        <w:rPr>
          <w:rStyle w:val="FootnoteReference"/>
        </w:rPr>
        <w:footnoteRef/>
      </w:r>
      <w:r>
        <w:t xml:space="preserve"> </w:t>
      </w:r>
      <w:r w:rsidRPr="00AB74EF">
        <w:rPr>
          <w:rFonts w:asciiTheme="majorHAnsi" w:hAnsiTheme="majorHAnsi"/>
          <w:sz w:val="18"/>
          <w:szCs w:val="18"/>
        </w:rPr>
        <w:t>Par ailleurs, et dans une approche plus dynamique :</w:t>
      </w:r>
    </w:p>
    <w:p w:rsidR="003E53CA" w:rsidRPr="00AB74EF" w:rsidRDefault="003E53CA" w:rsidP="00356247">
      <w:pPr>
        <w:pStyle w:val="BodyTextIndent"/>
        <w:shd w:val="clear" w:color="auto" w:fill="D9D9D9" w:themeFill="background1" w:themeFillShade="D9"/>
        <w:spacing w:after="120"/>
        <w:ind w:right="1"/>
        <w:rPr>
          <w:rFonts w:asciiTheme="majorHAnsi" w:hAnsiTheme="majorHAnsi"/>
          <w:sz w:val="18"/>
          <w:szCs w:val="18"/>
        </w:rPr>
      </w:pPr>
      <w:r w:rsidRPr="00AB74EF">
        <w:rPr>
          <w:rFonts w:asciiTheme="majorHAnsi" w:hAnsiTheme="majorHAnsi"/>
          <w:i/>
          <w:sz w:val="18"/>
          <w:szCs w:val="18"/>
        </w:rPr>
        <w:t>A court terme, la propension moyenne à consommer diminue lorsque le revenu varie à la hausse</w:t>
      </w:r>
      <w:r w:rsidRPr="00AB74EF">
        <w:rPr>
          <w:rFonts w:asciiTheme="majorHAnsi" w:hAnsiTheme="majorHAnsi"/>
          <w:sz w:val="18"/>
          <w:szCs w:val="18"/>
        </w:rPr>
        <w:t xml:space="preserve">,  car les ménages n’ajustent leur comportement de consommation à l’élévation de leur revenu qu’avec un certain retard (on parle d’effet d’hystérésis). Inversement, lorsque le revenu varie à la baisse, les ménages conservent pendant un certain temps leurs habitudes de consommation antérieures et puisent pour ce faire au besoin dans leur épargne : à court terme la propension moyenne à consommer le revenu augmente, la propension moyenne à épargner, au contraire, diminue. </w:t>
      </w:r>
      <w:r w:rsidRPr="00AB74EF">
        <w:rPr>
          <w:rFonts w:asciiTheme="majorHAnsi" w:hAnsiTheme="majorHAnsi"/>
          <w:i/>
          <w:sz w:val="18"/>
          <w:szCs w:val="18"/>
        </w:rPr>
        <w:t>A moyen terme cependant</w:t>
      </w:r>
      <w:r w:rsidRPr="00AB74EF">
        <w:rPr>
          <w:rFonts w:asciiTheme="majorHAnsi" w:hAnsiTheme="majorHAnsi"/>
          <w:sz w:val="18"/>
          <w:szCs w:val="18"/>
        </w:rPr>
        <w:t>, les ménages finissent par ajuster leur consommation aux variations de leur revenu</w:t>
      </w:r>
      <w:r w:rsidRPr="00AB74EF">
        <w:rPr>
          <w:rStyle w:val="FootnoteReference"/>
          <w:rFonts w:asciiTheme="majorHAnsi" w:hAnsiTheme="majorHAnsi"/>
          <w:sz w:val="18"/>
          <w:szCs w:val="18"/>
        </w:rPr>
        <w:footnoteRef/>
      </w:r>
      <w:r w:rsidRPr="00AB74EF">
        <w:rPr>
          <w:rFonts w:asciiTheme="majorHAnsi" w:hAnsiTheme="majorHAnsi"/>
          <w:sz w:val="18"/>
          <w:szCs w:val="18"/>
        </w:rPr>
        <w:t>.</w:t>
      </w:r>
    </w:p>
    <w:p w:rsidR="003E53CA" w:rsidRPr="00356247" w:rsidRDefault="003E53CA" w:rsidP="00356247">
      <w:pPr>
        <w:pStyle w:val="BodyTextIndent"/>
        <w:shd w:val="clear" w:color="auto" w:fill="D9D9D9" w:themeFill="background1" w:themeFillShade="D9"/>
        <w:spacing w:after="120"/>
        <w:ind w:right="1"/>
        <w:rPr>
          <w:rFonts w:asciiTheme="majorHAnsi" w:hAnsiTheme="majorHAnsi"/>
          <w:sz w:val="18"/>
          <w:szCs w:val="18"/>
        </w:rPr>
      </w:pPr>
      <w:r w:rsidRPr="00AB74EF">
        <w:rPr>
          <w:rFonts w:asciiTheme="majorHAnsi" w:hAnsiTheme="majorHAnsi"/>
          <w:i/>
          <w:sz w:val="18"/>
          <w:szCs w:val="18"/>
        </w:rPr>
        <w:t>De même, à court terme, la propension moyenne</w:t>
      </w:r>
      <w:r w:rsidRPr="00AB74EF">
        <w:rPr>
          <w:rFonts w:asciiTheme="majorHAnsi" w:hAnsiTheme="majorHAnsi"/>
          <w:b/>
          <w:i/>
          <w:sz w:val="18"/>
          <w:szCs w:val="18"/>
        </w:rPr>
        <w:t xml:space="preserve"> </w:t>
      </w:r>
      <w:r w:rsidRPr="00AB74EF">
        <w:rPr>
          <w:rFonts w:asciiTheme="majorHAnsi" w:hAnsiTheme="majorHAnsi"/>
          <w:i/>
          <w:sz w:val="18"/>
          <w:szCs w:val="18"/>
        </w:rPr>
        <w:t>à consommer des ménages a tendance à diminuer en période de récession/ stagnation</w:t>
      </w:r>
      <w:r w:rsidRPr="00AB74EF">
        <w:rPr>
          <w:rFonts w:asciiTheme="majorHAnsi" w:hAnsiTheme="majorHAnsi"/>
          <w:sz w:val="18"/>
          <w:szCs w:val="18"/>
        </w:rPr>
        <w:t xml:space="preserve">, les ménages faisant des anticipations pessimistes sur l’évolution de leurs revenus et les risques de chômage et accroissant de ce fait leur épargne de précaution ; </w:t>
      </w:r>
      <w:r w:rsidRPr="00AB74EF">
        <w:rPr>
          <w:rFonts w:asciiTheme="majorHAnsi" w:hAnsiTheme="majorHAnsi"/>
          <w:i/>
          <w:sz w:val="18"/>
          <w:szCs w:val="18"/>
        </w:rPr>
        <w:t>elle augmente en période de croissance</w:t>
      </w:r>
      <w:r w:rsidRPr="00AB74EF">
        <w:rPr>
          <w:rFonts w:asciiTheme="majorHAnsi" w:hAnsiTheme="majorHAnsi"/>
          <w:sz w:val="18"/>
          <w:szCs w:val="18"/>
        </w:rPr>
        <w:t>, les anticipations des ménages sur leurs revenus futurs et l’avenir en général étant plus optimistes, ce qui les rend plus enclins à la dépense.  Le facteur « confiance en l’avenir » joue donc un grand rôle dans les comportements de consommation et d’épargne des ménages.</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1"/>
      <w:gridCol w:w="1159"/>
    </w:tblGrid>
    <w:tr w:rsidR="003E53CA" w:rsidRPr="00146F7F">
      <w:trPr>
        <w:trHeight w:val="288"/>
      </w:trPr>
      <w:sdt>
        <w:sdtPr>
          <w:rPr>
            <w:rFonts w:asciiTheme="majorHAnsi" w:eastAsiaTheme="majorEastAsia" w:hAnsiTheme="majorHAnsi" w:cstheme="majorBidi"/>
            <w:sz w:val="16"/>
            <w:szCs w:val="16"/>
          </w:rPr>
          <w:alias w:val="Titre"/>
          <w:id w:val="77761602"/>
          <w:placeholder>
            <w:docPart w:val="E10BD90DD9EC4B02A0E8C67CA4FDCDE9"/>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3E53CA" w:rsidRPr="00146F7F" w:rsidRDefault="003E53CA" w:rsidP="00146F7F">
              <w:pPr>
                <w:pStyle w:val="Header"/>
                <w:jc w:val="right"/>
                <w:rPr>
                  <w:rFonts w:asciiTheme="majorHAnsi" w:eastAsiaTheme="majorEastAsia" w:hAnsiTheme="majorHAnsi" w:cstheme="majorBidi"/>
                  <w:sz w:val="16"/>
                  <w:szCs w:val="16"/>
                </w:rPr>
              </w:pPr>
              <w:r w:rsidRPr="00146F7F">
                <w:rPr>
                  <w:rFonts w:asciiTheme="majorHAnsi" w:eastAsiaTheme="majorEastAsia" w:hAnsiTheme="majorHAnsi" w:cstheme="majorBidi"/>
                  <w:sz w:val="16"/>
                  <w:szCs w:val="16"/>
                </w:rPr>
                <w:t>B. Engelhardt-Bitrian    Economie Politique</w:t>
              </w:r>
            </w:p>
          </w:tc>
        </w:sdtContent>
      </w:sdt>
      <w:sdt>
        <w:sdtPr>
          <w:rPr>
            <w:rFonts w:asciiTheme="majorHAnsi" w:eastAsiaTheme="majorEastAsia" w:hAnsiTheme="majorHAnsi" w:cstheme="majorBidi"/>
            <w:b/>
            <w:bCs/>
            <w:color w:val="4F81BD" w:themeColor="accent1"/>
            <w:sz w:val="16"/>
            <w:szCs w:val="16"/>
          </w:rPr>
          <w:alias w:val="Année"/>
          <w:id w:val="77761609"/>
          <w:placeholder>
            <w:docPart w:val="0FE9B29F17B34DA3BF40B8DB15027477"/>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tcPr>
            <w:p w:rsidR="003E53CA" w:rsidRPr="00146F7F" w:rsidRDefault="003E53CA" w:rsidP="00146F7F">
              <w:pPr>
                <w:pStyle w:val="Header"/>
                <w:rPr>
                  <w:rFonts w:asciiTheme="majorHAnsi" w:eastAsiaTheme="majorEastAsia" w:hAnsiTheme="majorHAnsi" w:cstheme="majorBidi"/>
                  <w:b/>
                  <w:bCs/>
                  <w:color w:val="4F81BD" w:themeColor="accent1"/>
                  <w:sz w:val="16"/>
                  <w:szCs w:val="16"/>
                </w:rPr>
              </w:pPr>
              <w:r w:rsidRPr="00146F7F">
                <w:rPr>
                  <w:rFonts w:asciiTheme="majorHAnsi" w:eastAsiaTheme="majorEastAsia" w:hAnsiTheme="majorHAnsi" w:cstheme="majorBidi"/>
                  <w:b/>
                  <w:bCs/>
                  <w:color w:val="4F81BD" w:themeColor="accent1"/>
                  <w:sz w:val="16"/>
                  <w:szCs w:val="16"/>
                </w:rPr>
                <w:t>2010-2011</w:t>
              </w:r>
            </w:p>
          </w:tc>
        </w:sdtContent>
      </w:sdt>
    </w:tr>
  </w:tbl>
  <w:p w:rsidR="003E53CA" w:rsidRDefault="003E53CA">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B5485C"/>
    <w:multiLevelType w:val="singleLevel"/>
    <w:tmpl w:val="379CD712"/>
    <w:lvl w:ilvl="0">
      <w:start w:val="1"/>
      <w:numFmt w:val="lowerLetter"/>
      <w:lvlText w:val="%1)"/>
      <w:lvlJc w:val="left"/>
      <w:pPr>
        <w:tabs>
          <w:tab w:val="num" w:pos="927"/>
        </w:tabs>
        <w:ind w:left="927" w:hanging="360"/>
      </w:pPr>
      <w:rPr>
        <w:rFonts w:hint="default"/>
      </w:rPr>
    </w:lvl>
  </w:abstractNum>
  <w:abstractNum w:abstractNumId="1">
    <w:nsid w:val="0461234A"/>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2">
    <w:nsid w:val="04BB2586"/>
    <w:multiLevelType w:val="hybridMultilevel"/>
    <w:tmpl w:val="2990C688"/>
    <w:lvl w:ilvl="0" w:tplc="94646B70">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5390C87"/>
    <w:multiLevelType w:val="singleLevel"/>
    <w:tmpl w:val="89724252"/>
    <w:lvl w:ilvl="0">
      <w:start w:val="1"/>
      <w:numFmt w:val="bullet"/>
      <w:lvlText w:val=""/>
      <w:lvlJc w:val="left"/>
      <w:pPr>
        <w:tabs>
          <w:tab w:val="num" w:pos="360"/>
        </w:tabs>
        <w:ind w:left="360" w:hanging="360"/>
      </w:pPr>
      <w:rPr>
        <w:rFonts w:ascii="Wingdings" w:hAnsi="Wingdings" w:hint="default"/>
      </w:rPr>
    </w:lvl>
  </w:abstractNum>
  <w:abstractNum w:abstractNumId="4">
    <w:nsid w:val="07EB6761"/>
    <w:multiLevelType w:val="singleLevel"/>
    <w:tmpl w:val="040C0001"/>
    <w:lvl w:ilvl="0">
      <w:start w:val="1"/>
      <w:numFmt w:val="bullet"/>
      <w:lvlText w:val=""/>
      <w:lvlJc w:val="left"/>
      <w:pPr>
        <w:ind w:left="720" w:hanging="360"/>
      </w:pPr>
      <w:rPr>
        <w:rFonts w:ascii="Symbol" w:hAnsi="Symbol" w:hint="default"/>
      </w:rPr>
    </w:lvl>
  </w:abstractNum>
  <w:abstractNum w:abstractNumId="5">
    <w:nsid w:val="0B4202EB"/>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6">
    <w:nsid w:val="0EAA400C"/>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7">
    <w:nsid w:val="0F8E5F21"/>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8">
    <w:nsid w:val="15213578"/>
    <w:multiLevelType w:val="hybridMultilevel"/>
    <w:tmpl w:val="D92292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B0711ED"/>
    <w:multiLevelType w:val="hybridMultilevel"/>
    <w:tmpl w:val="4B58F5A4"/>
    <w:lvl w:ilvl="0" w:tplc="C6EA9A6A">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nsid w:val="1BEA1EE7"/>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11">
    <w:nsid w:val="1FC45C9E"/>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12">
    <w:nsid w:val="1FEE3635"/>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13">
    <w:nsid w:val="1FF8310F"/>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14">
    <w:nsid w:val="22443EEF"/>
    <w:multiLevelType w:val="singleLevel"/>
    <w:tmpl w:val="379CD712"/>
    <w:lvl w:ilvl="0">
      <w:start w:val="1"/>
      <w:numFmt w:val="lowerLetter"/>
      <w:lvlText w:val="%1)"/>
      <w:lvlJc w:val="left"/>
      <w:pPr>
        <w:tabs>
          <w:tab w:val="num" w:pos="927"/>
        </w:tabs>
        <w:ind w:left="927" w:hanging="360"/>
      </w:pPr>
      <w:rPr>
        <w:rFonts w:hint="default"/>
      </w:rPr>
    </w:lvl>
  </w:abstractNum>
  <w:abstractNum w:abstractNumId="15">
    <w:nsid w:val="22F53795"/>
    <w:multiLevelType w:val="singleLevel"/>
    <w:tmpl w:val="040C0017"/>
    <w:lvl w:ilvl="0">
      <w:start w:val="1"/>
      <w:numFmt w:val="lowerLetter"/>
      <w:lvlText w:val="%1)"/>
      <w:lvlJc w:val="left"/>
      <w:pPr>
        <w:tabs>
          <w:tab w:val="num" w:pos="360"/>
        </w:tabs>
        <w:ind w:left="360" w:hanging="360"/>
      </w:pPr>
      <w:rPr>
        <w:rFonts w:hint="default"/>
      </w:rPr>
    </w:lvl>
  </w:abstractNum>
  <w:abstractNum w:abstractNumId="16">
    <w:nsid w:val="238C7382"/>
    <w:multiLevelType w:val="singleLevel"/>
    <w:tmpl w:val="040C000F"/>
    <w:lvl w:ilvl="0">
      <w:start w:val="1"/>
      <w:numFmt w:val="decimal"/>
      <w:lvlText w:val="%1."/>
      <w:lvlJc w:val="left"/>
      <w:pPr>
        <w:ind w:left="720" w:hanging="360"/>
      </w:pPr>
      <w:rPr>
        <w:rFonts w:hint="default"/>
      </w:rPr>
    </w:lvl>
  </w:abstractNum>
  <w:abstractNum w:abstractNumId="17">
    <w:nsid w:val="2B936579"/>
    <w:multiLevelType w:val="singleLevel"/>
    <w:tmpl w:val="89724252"/>
    <w:lvl w:ilvl="0">
      <w:start w:val="1"/>
      <w:numFmt w:val="bullet"/>
      <w:lvlText w:val=""/>
      <w:lvlJc w:val="left"/>
      <w:pPr>
        <w:tabs>
          <w:tab w:val="num" w:pos="360"/>
        </w:tabs>
        <w:ind w:left="360" w:hanging="360"/>
      </w:pPr>
      <w:rPr>
        <w:rFonts w:ascii="Wingdings" w:hAnsi="Wingdings" w:hint="default"/>
      </w:rPr>
    </w:lvl>
  </w:abstractNum>
  <w:abstractNum w:abstractNumId="18">
    <w:nsid w:val="358A2D0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nsid w:val="380376FD"/>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20">
    <w:nsid w:val="3E4C2109"/>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21">
    <w:nsid w:val="3F0F5F60"/>
    <w:multiLevelType w:val="singleLevel"/>
    <w:tmpl w:val="379CD712"/>
    <w:lvl w:ilvl="0">
      <w:start w:val="1"/>
      <w:numFmt w:val="lowerLetter"/>
      <w:lvlText w:val="%1)"/>
      <w:lvlJc w:val="left"/>
      <w:pPr>
        <w:tabs>
          <w:tab w:val="num" w:pos="927"/>
        </w:tabs>
        <w:ind w:left="927" w:hanging="360"/>
      </w:pPr>
      <w:rPr>
        <w:rFonts w:hint="default"/>
      </w:rPr>
    </w:lvl>
  </w:abstractNum>
  <w:abstractNum w:abstractNumId="22">
    <w:nsid w:val="403A2DC9"/>
    <w:multiLevelType w:val="singleLevel"/>
    <w:tmpl w:val="89724252"/>
    <w:lvl w:ilvl="0">
      <w:start w:val="1"/>
      <w:numFmt w:val="bullet"/>
      <w:lvlText w:val=""/>
      <w:lvlJc w:val="left"/>
      <w:pPr>
        <w:tabs>
          <w:tab w:val="num" w:pos="360"/>
        </w:tabs>
        <w:ind w:left="360" w:hanging="360"/>
      </w:pPr>
      <w:rPr>
        <w:rFonts w:ascii="Wingdings" w:hAnsi="Wingdings" w:hint="default"/>
      </w:rPr>
    </w:lvl>
  </w:abstractNum>
  <w:abstractNum w:abstractNumId="23">
    <w:nsid w:val="404C6F85"/>
    <w:multiLevelType w:val="singleLevel"/>
    <w:tmpl w:val="379CD712"/>
    <w:lvl w:ilvl="0">
      <w:start w:val="1"/>
      <w:numFmt w:val="lowerLetter"/>
      <w:lvlText w:val="%1)"/>
      <w:lvlJc w:val="left"/>
      <w:pPr>
        <w:tabs>
          <w:tab w:val="num" w:pos="927"/>
        </w:tabs>
        <w:ind w:left="927" w:hanging="360"/>
      </w:pPr>
      <w:rPr>
        <w:rFonts w:hint="default"/>
      </w:rPr>
    </w:lvl>
  </w:abstractNum>
  <w:abstractNum w:abstractNumId="24">
    <w:nsid w:val="436D779B"/>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25">
    <w:nsid w:val="46EA4BD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nsid w:val="4BFB22CE"/>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27">
    <w:nsid w:val="4C191387"/>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28">
    <w:nsid w:val="4CE774C5"/>
    <w:multiLevelType w:val="singleLevel"/>
    <w:tmpl w:val="C9E6FEE8"/>
    <w:lvl w:ilvl="0">
      <w:start w:val="1"/>
      <w:numFmt w:val="bullet"/>
      <w:lvlText w:val=""/>
      <w:lvlJc w:val="left"/>
      <w:pPr>
        <w:tabs>
          <w:tab w:val="num" w:pos="1144"/>
        </w:tabs>
        <w:ind w:left="1144" w:hanging="435"/>
      </w:pPr>
      <w:rPr>
        <w:rFonts w:ascii="Symbol" w:hAnsi="Symbol" w:hint="default"/>
      </w:rPr>
    </w:lvl>
  </w:abstractNum>
  <w:abstractNum w:abstractNumId="29">
    <w:nsid w:val="4DFA3F2B"/>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30">
    <w:nsid w:val="4FF062FE"/>
    <w:multiLevelType w:val="hybridMultilevel"/>
    <w:tmpl w:val="F38E18D0"/>
    <w:lvl w:ilvl="0" w:tplc="040C000F">
      <w:start w:val="1"/>
      <w:numFmt w:val="decimal"/>
      <w:lvlText w:val="%1."/>
      <w:lvlJc w:val="left"/>
      <w:pPr>
        <w:ind w:left="927" w:hanging="360"/>
      </w:p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nsid w:val="523C02E7"/>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32">
    <w:nsid w:val="527926DB"/>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33">
    <w:nsid w:val="54994745"/>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34">
    <w:nsid w:val="551019AD"/>
    <w:multiLevelType w:val="hybridMultilevel"/>
    <w:tmpl w:val="493006D6"/>
    <w:lvl w:ilvl="0" w:tplc="6C1E4730">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58336695"/>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36">
    <w:nsid w:val="5A2B5FC6"/>
    <w:multiLevelType w:val="multilevel"/>
    <w:tmpl w:val="0C8A454E"/>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nsid w:val="65E42572"/>
    <w:multiLevelType w:val="hybridMultilevel"/>
    <w:tmpl w:val="1AA0F0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7CC3E06"/>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39">
    <w:nsid w:val="6A4B155A"/>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40">
    <w:nsid w:val="742A3D7B"/>
    <w:multiLevelType w:val="hybridMultilevel"/>
    <w:tmpl w:val="B57A97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7653116D"/>
    <w:multiLevelType w:val="singleLevel"/>
    <w:tmpl w:val="040C0017"/>
    <w:lvl w:ilvl="0">
      <w:start w:val="1"/>
      <w:numFmt w:val="lowerLetter"/>
      <w:lvlText w:val="%1)"/>
      <w:lvlJc w:val="left"/>
      <w:pPr>
        <w:tabs>
          <w:tab w:val="num" w:pos="360"/>
        </w:tabs>
        <w:ind w:left="360" w:hanging="360"/>
      </w:pPr>
      <w:rPr>
        <w:rFonts w:hint="default"/>
      </w:rPr>
    </w:lvl>
  </w:abstractNum>
  <w:abstractNum w:abstractNumId="42">
    <w:nsid w:val="7A2D6269"/>
    <w:multiLevelType w:val="singleLevel"/>
    <w:tmpl w:val="D220CD8E"/>
    <w:lvl w:ilvl="0">
      <w:start w:val="1"/>
      <w:numFmt w:val="bullet"/>
      <w:lvlText w:val=""/>
      <w:lvlJc w:val="left"/>
      <w:pPr>
        <w:tabs>
          <w:tab w:val="num" w:pos="360"/>
        </w:tabs>
        <w:ind w:left="360" w:hanging="360"/>
      </w:pPr>
      <w:rPr>
        <w:rFonts w:ascii="Symbol" w:hAnsi="Symbol" w:hint="default"/>
      </w:rPr>
    </w:lvl>
  </w:abstractNum>
  <w:abstractNum w:abstractNumId="43">
    <w:nsid w:val="7C132719"/>
    <w:multiLevelType w:val="singleLevel"/>
    <w:tmpl w:val="040C0017"/>
    <w:lvl w:ilvl="0">
      <w:start w:val="1"/>
      <w:numFmt w:val="lowerLetter"/>
      <w:lvlText w:val="%1)"/>
      <w:lvlJc w:val="left"/>
      <w:pPr>
        <w:tabs>
          <w:tab w:val="num" w:pos="360"/>
        </w:tabs>
        <w:ind w:left="360" w:hanging="360"/>
      </w:pPr>
      <w:rPr>
        <w:rFonts w:hint="default"/>
      </w:rPr>
    </w:lvl>
  </w:abstractNum>
  <w:num w:numId="1">
    <w:abstractNumId w:val="38"/>
  </w:num>
  <w:num w:numId="2">
    <w:abstractNumId w:val="11"/>
  </w:num>
  <w:num w:numId="3">
    <w:abstractNumId w:val="3"/>
  </w:num>
  <w:num w:numId="4">
    <w:abstractNumId w:val="22"/>
  </w:num>
  <w:num w:numId="5">
    <w:abstractNumId w:val="20"/>
  </w:num>
  <w:num w:numId="6">
    <w:abstractNumId w:val="7"/>
  </w:num>
  <w:num w:numId="7">
    <w:abstractNumId w:val="32"/>
  </w:num>
  <w:num w:numId="8">
    <w:abstractNumId w:val="33"/>
  </w:num>
  <w:num w:numId="9">
    <w:abstractNumId w:val="39"/>
  </w:num>
  <w:num w:numId="10">
    <w:abstractNumId w:val="35"/>
  </w:num>
  <w:num w:numId="11">
    <w:abstractNumId w:val="19"/>
  </w:num>
  <w:num w:numId="12">
    <w:abstractNumId w:val="6"/>
  </w:num>
  <w:num w:numId="13">
    <w:abstractNumId w:val="24"/>
  </w:num>
  <w:num w:numId="14">
    <w:abstractNumId w:val="26"/>
  </w:num>
  <w:num w:numId="15">
    <w:abstractNumId w:val="17"/>
  </w:num>
  <w:num w:numId="16">
    <w:abstractNumId w:val="31"/>
  </w:num>
  <w:num w:numId="17">
    <w:abstractNumId w:val="5"/>
  </w:num>
  <w:num w:numId="18">
    <w:abstractNumId w:val="10"/>
  </w:num>
  <w:num w:numId="19">
    <w:abstractNumId w:val="1"/>
  </w:num>
  <w:num w:numId="20">
    <w:abstractNumId w:val="42"/>
  </w:num>
  <w:num w:numId="21">
    <w:abstractNumId w:val="13"/>
  </w:num>
  <w:num w:numId="22">
    <w:abstractNumId w:val="27"/>
  </w:num>
  <w:num w:numId="23">
    <w:abstractNumId w:val="29"/>
  </w:num>
  <w:num w:numId="24">
    <w:abstractNumId w:val="12"/>
  </w:num>
  <w:num w:numId="25">
    <w:abstractNumId w:val="30"/>
  </w:num>
  <w:num w:numId="26">
    <w:abstractNumId w:val="8"/>
  </w:num>
  <w:num w:numId="27">
    <w:abstractNumId w:val="36"/>
  </w:num>
  <w:num w:numId="28">
    <w:abstractNumId w:val="16"/>
  </w:num>
  <w:num w:numId="29">
    <w:abstractNumId w:val="4"/>
  </w:num>
  <w:num w:numId="30">
    <w:abstractNumId w:val="25"/>
  </w:num>
  <w:num w:numId="31">
    <w:abstractNumId w:val="28"/>
  </w:num>
  <w:num w:numId="32">
    <w:abstractNumId w:val="41"/>
  </w:num>
  <w:num w:numId="33">
    <w:abstractNumId w:val="15"/>
  </w:num>
  <w:num w:numId="34">
    <w:abstractNumId w:val="43"/>
  </w:num>
  <w:num w:numId="35">
    <w:abstractNumId w:val="18"/>
  </w:num>
  <w:num w:numId="36">
    <w:abstractNumId w:val="23"/>
  </w:num>
  <w:num w:numId="37">
    <w:abstractNumId w:val="0"/>
  </w:num>
  <w:num w:numId="38">
    <w:abstractNumId w:val="21"/>
  </w:num>
  <w:num w:numId="39">
    <w:abstractNumId w:val="14"/>
  </w:num>
  <w:num w:numId="40">
    <w:abstractNumId w:val="37"/>
  </w:num>
  <w:num w:numId="41">
    <w:abstractNumId w:val="34"/>
  </w:num>
  <w:num w:numId="42">
    <w:abstractNumId w:val="40"/>
  </w:num>
  <w:num w:numId="43">
    <w:abstractNumId w:val="9"/>
  </w:num>
  <w:num w:numId="44">
    <w:abstractNumId w:val="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oNotTrackMoves/>
  <w:defaultTabStop w:val="708"/>
  <w:hyphenationZone w:val="425"/>
  <w:drawingGridHorizontalSpacing w:val="10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2A7130"/>
    <w:rsid w:val="00021110"/>
    <w:rsid w:val="00041BB6"/>
    <w:rsid w:val="00044265"/>
    <w:rsid w:val="00056148"/>
    <w:rsid w:val="000866B9"/>
    <w:rsid w:val="000936F2"/>
    <w:rsid w:val="000C3BF8"/>
    <w:rsid w:val="000C4CA0"/>
    <w:rsid w:val="000E00AB"/>
    <w:rsid w:val="000E4AA7"/>
    <w:rsid w:val="00134995"/>
    <w:rsid w:val="001373D6"/>
    <w:rsid w:val="001378DF"/>
    <w:rsid w:val="00143D08"/>
    <w:rsid w:val="00146F7F"/>
    <w:rsid w:val="00150FE4"/>
    <w:rsid w:val="00156DFC"/>
    <w:rsid w:val="001A561C"/>
    <w:rsid w:val="001A5A23"/>
    <w:rsid w:val="001A6989"/>
    <w:rsid w:val="001B1064"/>
    <w:rsid w:val="001D0D7B"/>
    <w:rsid w:val="001D5EB3"/>
    <w:rsid w:val="00213B90"/>
    <w:rsid w:val="002324A1"/>
    <w:rsid w:val="00234D05"/>
    <w:rsid w:val="0024491E"/>
    <w:rsid w:val="0024527D"/>
    <w:rsid w:val="00264BA7"/>
    <w:rsid w:val="00277A66"/>
    <w:rsid w:val="002A0DFF"/>
    <w:rsid w:val="002A19D8"/>
    <w:rsid w:val="002A7130"/>
    <w:rsid w:val="002C15B4"/>
    <w:rsid w:val="002E101A"/>
    <w:rsid w:val="00302FF2"/>
    <w:rsid w:val="00307194"/>
    <w:rsid w:val="0031771C"/>
    <w:rsid w:val="00353742"/>
    <w:rsid w:val="0035573A"/>
    <w:rsid w:val="00356247"/>
    <w:rsid w:val="00373D18"/>
    <w:rsid w:val="003D1F98"/>
    <w:rsid w:val="003D2FD6"/>
    <w:rsid w:val="003E1CB1"/>
    <w:rsid w:val="003E53CA"/>
    <w:rsid w:val="00407BAD"/>
    <w:rsid w:val="00407F6F"/>
    <w:rsid w:val="0042414A"/>
    <w:rsid w:val="0043220A"/>
    <w:rsid w:val="0043564E"/>
    <w:rsid w:val="004624F2"/>
    <w:rsid w:val="00465895"/>
    <w:rsid w:val="004826C9"/>
    <w:rsid w:val="00485F13"/>
    <w:rsid w:val="00490C0B"/>
    <w:rsid w:val="004926CF"/>
    <w:rsid w:val="00493AD9"/>
    <w:rsid w:val="004B0DA3"/>
    <w:rsid w:val="004B6C70"/>
    <w:rsid w:val="00504023"/>
    <w:rsid w:val="005065D9"/>
    <w:rsid w:val="0051160D"/>
    <w:rsid w:val="00515A86"/>
    <w:rsid w:val="00533075"/>
    <w:rsid w:val="00533200"/>
    <w:rsid w:val="00533B2C"/>
    <w:rsid w:val="00533CF7"/>
    <w:rsid w:val="0056489B"/>
    <w:rsid w:val="0059268B"/>
    <w:rsid w:val="005B68C3"/>
    <w:rsid w:val="005D0ED1"/>
    <w:rsid w:val="005E5B0F"/>
    <w:rsid w:val="006111B6"/>
    <w:rsid w:val="006114D6"/>
    <w:rsid w:val="00616BB6"/>
    <w:rsid w:val="00623035"/>
    <w:rsid w:val="00624DD8"/>
    <w:rsid w:val="006523C3"/>
    <w:rsid w:val="00662488"/>
    <w:rsid w:val="006D7161"/>
    <w:rsid w:val="006E09E3"/>
    <w:rsid w:val="006E53DA"/>
    <w:rsid w:val="006F07A2"/>
    <w:rsid w:val="00713565"/>
    <w:rsid w:val="00730C34"/>
    <w:rsid w:val="00746BD6"/>
    <w:rsid w:val="00760F2C"/>
    <w:rsid w:val="0076508D"/>
    <w:rsid w:val="0076782A"/>
    <w:rsid w:val="00771313"/>
    <w:rsid w:val="00774498"/>
    <w:rsid w:val="007821BA"/>
    <w:rsid w:val="00791131"/>
    <w:rsid w:val="007A0A8B"/>
    <w:rsid w:val="007A2D6B"/>
    <w:rsid w:val="007B0898"/>
    <w:rsid w:val="007C24E9"/>
    <w:rsid w:val="007D62BD"/>
    <w:rsid w:val="007E3A61"/>
    <w:rsid w:val="008002B7"/>
    <w:rsid w:val="00820A50"/>
    <w:rsid w:val="00835958"/>
    <w:rsid w:val="00887427"/>
    <w:rsid w:val="00890826"/>
    <w:rsid w:val="00890E14"/>
    <w:rsid w:val="008B6141"/>
    <w:rsid w:val="008C6ED6"/>
    <w:rsid w:val="008D09D5"/>
    <w:rsid w:val="00966356"/>
    <w:rsid w:val="009B5847"/>
    <w:rsid w:val="009C0326"/>
    <w:rsid w:val="009D271C"/>
    <w:rsid w:val="009E5CF7"/>
    <w:rsid w:val="00A135F5"/>
    <w:rsid w:val="00A42391"/>
    <w:rsid w:val="00A46AB1"/>
    <w:rsid w:val="00A60ABD"/>
    <w:rsid w:val="00A66C75"/>
    <w:rsid w:val="00A81115"/>
    <w:rsid w:val="00A83D15"/>
    <w:rsid w:val="00AB48AC"/>
    <w:rsid w:val="00AB74EF"/>
    <w:rsid w:val="00AD0882"/>
    <w:rsid w:val="00AD2549"/>
    <w:rsid w:val="00AE0DD1"/>
    <w:rsid w:val="00AE7E51"/>
    <w:rsid w:val="00AF0A12"/>
    <w:rsid w:val="00B02CDD"/>
    <w:rsid w:val="00B14601"/>
    <w:rsid w:val="00B148C4"/>
    <w:rsid w:val="00B203B8"/>
    <w:rsid w:val="00B36D8E"/>
    <w:rsid w:val="00B576C6"/>
    <w:rsid w:val="00BB697A"/>
    <w:rsid w:val="00BB76CC"/>
    <w:rsid w:val="00BE082B"/>
    <w:rsid w:val="00BE1F76"/>
    <w:rsid w:val="00BE223B"/>
    <w:rsid w:val="00C14826"/>
    <w:rsid w:val="00C23BD1"/>
    <w:rsid w:val="00C36711"/>
    <w:rsid w:val="00C42043"/>
    <w:rsid w:val="00C45236"/>
    <w:rsid w:val="00C463D1"/>
    <w:rsid w:val="00C5226C"/>
    <w:rsid w:val="00C65548"/>
    <w:rsid w:val="00CD7FC1"/>
    <w:rsid w:val="00CE22F8"/>
    <w:rsid w:val="00CF5C3C"/>
    <w:rsid w:val="00D854ED"/>
    <w:rsid w:val="00D872BC"/>
    <w:rsid w:val="00D92082"/>
    <w:rsid w:val="00D96651"/>
    <w:rsid w:val="00DA4ACA"/>
    <w:rsid w:val="00DB5894"/>
    <w:rsid w:val="00DD20A6"/>
    <w:rsid w:val="00DE7BD3"/>
    <w:rsid w:val="00E21CA8"/>
    <w:rsid w:val="00E22497"/>
    <w:rsid w:val="00E42FA1"/>
    <w:rsid w:val="00E458FA"/>
    <w:rsid w:val="00E521A7"/>
    <w:rsid w:val="00E523FD"/>
    <w:rsid w:val="00EA33DC"/>
    <w:rsid w:val="00EB3288"/>
    <w:rsid w:val="00EB481A"/>
    <w:rsid w:val="00EB6A96"/>
    <w:rsid w:val="00F57325"/>
    <w:rsid w:val="00F577AC"/>
    <w:rsid w:val="00F768B0"/>
    <w:rsid w:val="00F904D2"/>
    <w:rsid w:val="00F9520B"/>
    <w:rsid w:val="00FA233F"/>
    <w:rsid w:val="00FA3080"/>
    <w:rsid w:val="00FA7B3A"/>
    <w:rsid w:val="00FB2846"/>
    <w:rsid w:val="00FB35C0"/>
    <w:rsid w:val="00FD43E5"/>
    <w:rsid w:val="00FE1A72"/>
    <w:rsid w:val="00FF6B1C"/>
  </w:rsids>
  <m:mathPr>
    <m:mathFont m:val="Segoe Prin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66">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16"/>
        <w:szCs w:val="16"/>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130"/>
    <w:pPr>
      <w:spacing w:after="0" w:line="240" w:lineRule="auto"/>
    </w:pPr>
    <w:rPr>
      <w:rFonts w:ascii="Times New Roman" w:eastAsia="Times New Roman" w:hAnsi="Times New Roman" w:cs="Times New Roman"/>
      <w:sz w:val="20"/>
      <w:szCs w:val="20"/>
      <w:lang w:eastAsia="fr-FR"/>
    </w:rPr>
  </w:style>
  <w:style w:type="paragraph" w:styleId="Heading1">
    <w:name w:val="heading 1"/>
    <w:basedOn w:val="Normal"/>
    <w:next w:val="Normal"/>
    <w:link w:val="Heading1Char"/>
    <w:qFormat/>
    <w:rsid w:val="002A7130"/>
    <w:pPr>
      <w:keepNext/>
      <w:jc w:val="center"/>
      <w:outlineLvl w:val="0"/>
    </w:pPr>
    <w:rPr>
      <w:b/>
      <w:sz w:val="18"/>
    </w:rPr>
  </w:style>
  <w:style w:type="paragraph" w:styleId="Heading2">
    <w:name w:val="heading 2"/>
    <w:basedOn w:val="Normal"/>
    <w:next w:val="Normal"/>
    <w:link w:val="Heading2Char"/>
    <w:uiPriority w:val="9"/>
    <w:semiHidden/>
    <w:unhideWhenUsed/>
    <w:qFormat/>
    <w:rsid w:val="002A713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A7130"/>
    <w:rPr>
      <w:rFonts w:ascii="Times New Roman" w:eastAsia="Times New Roman" w:hAnsi="Times New Roman" w:cs="Times New Roman"/>
      <w:b/>
      <w:sz w:val="18"/>
      <w:szCs w:val="20"/>
      <w:lang w:eastAsia="fr-FR"/>
    </w:rPr>
  </w:style>
  <w:style w:type="character" w:customStyle="1" w:styleId="Heading2Char">
    <w:name w:val="Heading 2 Char"/>
    <w:basedOn w:val="DefaultParagraphFont"/>
    <w:link w:val="Heading2"/>
    <w:uiPriority w:val="9"/>
    <w:semiHidden/>
    <w:rsid w:val="002A7130"/>
    <w:rPr>
      <w:rFonts w:eastAsiaTheme="majorEastAsia"/>
      <w:b/>
      <w:bCs/>
      <w:color w:val="4F81BD" w:themeColor="accent1"/>
      <w:sz w:val="26"/>
      <w:szCs w:val="26"/>
    </w:rPr>
  </w:style>
  <w:style w:type="paragraph" w:styleId="BodyTextIndent">
    <w:name w:val="Body Text Indent"/>
    <w:basedOn w:val="Normal"/>
    <w:link w:val="BodyTextIndentChar"/>
    <w:semiHidden/>
    <w:rsid w:val="002A7130"/>
    <w:pPr>
      <w:ind w:firstLine="567"/>
      <w:jc w:val="both"/>
    </w:pPr>
    <w:rPr>
      <w:rFonts w:ascii="Century Gothic" w:hAnsi="Century Gothic"/>
    </w:rPr>
  </w:style>
  <w:style w:type="character" w:customStyle="1" w:styleId="BodyTextIndentChar">
    <w:name w:val="Body Text Indent Char"/>
    <w:basedOn w:val="DefaultParagraphFont"/>
    <w:link w:val="BodyTextIndent"/>
    <w:semiHidden/>
    <w:rsid w:val="002A7130"/>
    <w:rPr>
      <w:rFonts w:ascii="Century Gothic" w:eastAsia="Times New Roman" w:hAnsi="Century Gothic" w:cs="Times New Roman"/>
      <w:sz w:val="20"/>
      <w:szCs w:val="20"/>
      <w:lang w:eastAsia="fr-FR"/>
    </w:rPr>
  </w:style>
  <w:style w:type="character" w:styleId="FootnoteReference">
    <w:name w:val="footnote reference"/>
    <w:basedOn w:val="DefaultParagraphFont"/>
    <w:semiHidden/>
    <w:rsid w:val="002A7130"/>
    <w:rPr>
      <w:vertAlign w:val="superscript"/>
    </w:rPr>
  </w:style>
  <w:style w:type="paragraph" w:styleId="FootnoteText">
    <w:name w:val="footnote text"/>
    <w:basedOn w:val="Normal"/>
    <w:link w:val="FootnoteTextChar"/>
    <w:semiHidden/>
    <w:rsid w:val="002A7130"/>
    <w:rPr>
      <w:rFonts w:ascii="Trebuchet MS" w:hAnsi="Trebuchet MS"/>
    </w:rPr>
  </w:style>
  <w:style w:type="character" w:customStyle="1" w:styleId="FootnoteTextChar">
    <w:name w:val="Footnote Text Char"/>
    <w:basedOn w:val="DefaultParagraphFont"/>
    <w:link w:val="FootnoteText"/>
    <w:semiHidden/>
    <w:rsid w:val="002A7130"/>
    <w:rPr>
      <w:rFonts w:ascii="Trebuchet MS" w:eastAsia="Times New Roman" w:hAnsi="Trebuchet MS" w:cs="Times New Roman"/>
      <w:sz w:val="20"/>
      <w:szCs w:val="20"/>
      <w:lang w:eastAsia="fr-FR"/>
    </w:rPr>
  </w:style>
  <w:style w:type="paragraph" w:styleId="BalloonText">
    <w:name w:val="Balloon Text"/>
    <w:basedOn w:val="Normal"/>
    <w:link w:val="BalloonTextChar"/>
    <w:uiPriority w:val="99"/>
    <w:semiHidden/>
    <w:unhideWhenUsed/>
    <w:rsid w:val="002A7130"/>
    <w:rPr>
      <w:rFonts w:ascii="Tahoma" w:hAnsi="Tahoma" w:cs="Tahoma"/>
      <w:sz w:val="16"/>
      <w:szCs w:val="16"/>
    </w:rPr>
  </w:style>
  <w:style w:type="character" w:customStyle="1" w:styleId="BalloonTextChar">
    <w:name w:val="Balloon Text Char"/>
    <w:basedOn w:val="DefaultParagraphFont"/>
    <w:link w:val="BalloonText"/>
    <w:uiPriority w:val="99"/>
    <w:semiHidden/>
    <w:rsid w:val="002A7130"/>
    <w:rPr>
      <w:rFonts w:ascii="Tahoma" w:eastAsia="Times New Roman" w:hAnsi="Tahoma" w:cs="Tahoma"/>
      <w:lang w:eastAsia="fr-FR"/>
    </w:rPr>
  </w:style>
  <w:style w:type="paragraph" w:styleId="Header">
    <w:name w:val="header"/>
    <w:basedOn w:val="Normal"/>
    <w:link w:val="HeaderChar"/>
    <w:uiPriority w:val="99"/>
    <w:unhideWhenUsed/>
    <w:rsid w:val="002A7130"/>
    <w:pPr>
      <w:tabs>
        <w:tab w:val="center" w:pos="4536"/>
        <w:tab w:val="right" w:pos="9072"/>
      </w:tabs>
    </w:pPr>
  </w:style>
  <w:style w:type="character" w:customStyle="1" w:styleId="HeaderChar">
    <w:name w:val="Header Char"/>
    <w:basedOn w:val="DefaultParagraphFont"/>
    <w:link w:val="Header"/>
    <w:uiPriority w:val="99"/>
    <w:rsid w:val="002A7130"/>
    <w:rPr>
      <w:rFonts w:ascii="Times New Roman" w:eastAsia="Times New Roman" w:hAnsi="Times New Roman" w:cs="Times New Roman"/>
      <w:sz w:val="20"/>
      <w:szCs w:val="20"/>
      <w:lang w:eastAsia="fr-FR"/>
    </w:rPr>
  </w:style>
  <w:style w:type="paragraph" w:styleId="Footer">
    <w:name w:val="footer"/>
    <w:basedOn w:val="Normal"/>
    <w:link w:val="FooterChar"/>
    <w:uiPriority w:val="99"/>
    <w:unhideWhenUsed/>
    <w:rsid w:val="002A7130"/>
    <w:pPr>
      <w:tabs>
        <w:tab w:val="center" w:pos="4536"/>
        <w:tab w:val="right" w:pos="9072"/>
      </w:tabs>
    </w:pPr>
  </w:style>
  <w:style w:type="character" w:customStyle="1" w:styleId="FooterChar">
    <w:name w:val="Footer Char"/>
    <w:basedOn w:val="DefaultParagraphFont"/>
    <w:link w:val="Footer"/>
    <w:uiPriority w:val="99"/>
    <w:rsid w:val="002A7130"/>
    <w:rPr>
      <w:rFonts w:ascii="Times New Roman" w:eastAsia="Times New Roman" w:hAnsi="Times New Roman" w:cs="Times New Roman"/>
      <w:sz w:val="20"/>
      <w:szCs w:val="20"/>
      <w:lang w:eastAsia="fr-FR"/>
    </w:rPr>
  </w:style>
  <w:style w:type="paragraph" w:styleId="ListParagraph">
    <w:name w:val="List Paragraph"/>
    <w:basedOn w:val="Normal"/>
    <w:uiPriority w:val="34"/>
    <w:qFormat/>
    <w:rsid w:val="002A7130"/>
    <w:pPr>
      <w:ind w:left="720"/>
      <w:contextualSpacing/>
    </w:pPr>
  </w:style>
  <w:style w:type="character" w:styleId="PlaceholderText">
    <w:name w:val="Placeholder Text"/>
    <w:basedOn w:val="DefaultParagraphFont"/>
    <w:uiPriority w:val="99"/>
    <w:semiHidden/>
    <w:rsid w:val="005065D9"/>
    <w:rPr>
      <w:color w:val="808080"/>
    </w:rPr>
  </w:style>
  <w:style w:type="table" w:styleId="TableGrid">
    <w:name w:val="Table Grid"/>
    <w:basedOn w:val="TableNormal"/>
    <w:uiPriority w:val="59"/>
    <w:rsid w:val="00432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32997">
      <w:bodyDiv w:val="1"/>
      <w:marLeft w:val="0"/>
      <w:marRight w:val="0"/>
      <w:marTop w:val="0"/>
      <w:marBottom w:val="0"/>
      <w:divBdr>
        <w:top w:val="none" w:sz="0" w:space="0" w:color="auto"/>
        <w:left w:val="none" w:sz="0" w:space="0" w:color="auto"/>
        <w:bottom w:val="none" w:sz="0" w:space="0" w:color="auto"/>
        <w:right w:val="none" w:sz="0" w:space="0" w:color="auto"/>
      </w:divBdr>
    </w:div>
    <w:div w:id="56520194">
      <w:bodyDiv w:val="1"/>
      <w:marLeft w:val="0"/>
      <w:marRight w:val="0"/>
      <w:marTop w:val="0"/>
      <w:marBottom w:val="0"/>
      <w:divBdr>
        <w:top w:val="none" w:sz="0" w:space="0" w:color="auto"/>
        <w:left w:val="none" w:sz="0" w:space="0" w:color="auto"/>
        <w:bottom w:val="none" w:sz="0" w:space="0" w:color="auto"/>
        <w:right w:val="none" w:sz="0" w:space="0" w:color="auto"/>
      </w:divBdr>
    </w:div>
    <w:div w:id="56784026">
      <w:bodyDiv w:val="1"/>
      <w:marLeft w:val="0"/>
      <w:marRight w:val="0"/>
      <w:marTop w:val="0"/>
      <w:marBottom w:val="0"/>
      <w:divBdr>
        <w:top w:val="none" w:sz="0" w:space="0" w:color="auto"/>
        <w:left w:val="none" w:sz="0" w:space="0" w:color="auto"/>
        <w:bottom w:val="none" w:sz="0" w:space="0" w:color="auto"/>
        <w:right w:val="none" w:sz="0" w:space="0" w:color="auto"/>
      </w:divBdr>
    </w:div>
    <w:div w:id="134224125">
      <w:bodyDiv w:val="1"/>
      <w:marLeft w:val="0"/>
      <w:marRight w:val="0"/>
      <w:marTop w:val="0"/>
      <w:marBottom w:val="0"/>
      <w:divBdr>
        <w:top w:val="none" w:sz="0" w:space="0" w:color="auto"/>
        <w:left w:val="none" w:sz="0" w:space="0" w:color="auto"/>
        <w:bottom w:val="none" w:sz="0" w:space="0" w:color="auto"/>
        <w:right w:val="none" w:sz="0" w:space="0" w:color="auto"/>
      </w:divBdr>
    </w:div>
    <w:div w:id="224221000">
      <w:bodyDiv w:val="1"/>
      <w:marLeft w:val="0"/>
      <w:marRight w:val="0"/>
      <w:marTop w:val="0"/>
      <w:marBottom w:val="0"/>
      <w:divBdr>
        <w:top w:val="none" w:sz="0" w:space="0" w:color="auto"/>
        <w:left w:val="none" w:sz="0" w:space="0" w:color="auto"/>
        <w:bottom w:val="none" w:sz="0" w:space="0" w:color="auto"/>
        <w:right w:val="none" w:sz="0" w:space="0" w:color="auto"/>
      </w:divBdr>
    </w:div>
    <w:div w:id="412623307">
      <w:bodyDiv w:val="1"/>
      <w:marLeft w:val="0"/>
      <w:marRight w:val="0"/>
      <w:marTop w:val="0"/>
      <w:marBottom w:val="0"/>
      <w:divBdr>
        <w:top w:val="none" w:sz="0" w:space="0" w:color="auto"/>
        <w:left w:val="none" w:sz="0" w:space="0" w:color="auto"/>
        <w:bottom w:val="none" w:sz="0" w:space="0" w:color="auto"/>
        <w:right w:val="none" w:sz="0" w:space="0" w:color="auto"/>
      </w:divBdr>
    </w:div>
    <w:div w:id="479152889">
      <w:bodyDiv w:val="1"/>
      <w:marLeft w:val="0"/>
      <w:marRight w:val="0"/>
      <w:marTop w:val="0"/>
      <w:marBottom w:val="0"/>
      <w:divBdr>
        <w:top w:val="none" w:sz="0" w:space="0" w:color="auto"/>
        <w:left w:val="none" w:sz="0" w:space="0" w:color="auto"/>
        <w:bottom w:val="none" w:sz="0" w:space="0" w:color="auto"/>
        <w:right w:val="none" w:sz="0" w:space="0" w:color="auto"/>
      </w:divBdr>
    </w:div>
    <w:div w:id="1227254759">
      <w:bodyDiv w:val="1"/>
      <w:marLeft w:val="0"/>
      <w:marRight w:val="0"/>
      <w:marTop w:val="0"/>
      <w:marBottom w:val="0"/>
      <w:divBdr>
        <w:top w:val="none" w:sz="0" w:space="0" w:color="auto"/>
        <w:left w:val="none" w:sz="0" w:space="0" w:color="auto"/>
        <w:bottom w:val="none" w:sz="0" w:space="0" w:color="auto"/>
        <w:right w:val="none" w:sz="0" w:space="0" w:color="auto"/>
      </w:divBdr>
    </w:div>
    <w:div w:id="1290041706">
      <w:bodyDiv w:val="1"/>
      <w:marLeft w:val="0"/>
      <w:marRight w:val="0"/>
      <w:marTop w:val="0"/>
      <w:marBottom w:val="0"/>
      <w:divBdr>
        <w:top w:val="none" w:sz="0" w:space="0" w:color="auto"/>
        <w:left w:val="none" w:sz="0" w:space="0" w:color="auto"/>
        <w:bottom w:val="none" w:sz="0" w:space="0" w:color="auto"/>
        <w:right w:val="none" w:sz="0" w:space="0" w:color="auto"/>
      </w:divBdr>
    </w:div>
    <w:div w:id="13164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UT\BB%202011-2012\Economie%202011-2012\Dossier%20TD\TD5\Graphiques%20mod&#232;les%20Keynsie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scatterChart>
        <c:scatterStyle val="lineMarker"/>
        <c:ser>
          <c:idx val="0"/>
          <c:order val="0"/>
          <c:tx>
            <c:strRef>
              <c:f>Feuil1!$C$2</c:f>
              <c:strCache>
                <c:ptCount val="1"/>
                <c:pt idx="0">
                  <c:v>Conso. Fin.</c:v>
                </c:pt>
              </c:strCache>
            </c:strRef>
          </c:tx>
          <c:spPr>
            <a:ln w="28575">
              <a:noFill/>
            </a:ln>
          </c:spPr>
          <c:trendline>
            <c:trendlineType val="linear"/>
            <c:dispRSqr val="1"/>
            <c:dispEq val="1"/>
            <c:trendlineLbl>
              <c:numFmt formatCode="General" sourceLinked="0"/>
              <c:txPr>
                <a:bodyPr/>
                <a:lstStyle/>
                <a:p>
                  <a:pPr>
                    <a:defRPr lang="fr-FR"/>
                  </a:pPr>
                  <a:endParaRPr lang="en-US"/>
                </a:p>
              </c:txPr>
            </c:trendlineLbl>
          </c:trendline>
          <c:xVal>
            <c:numRef>
              <c:f>Feuil1!$B$3:$B$13</c:f>
              <c:numCache>
                <c:formatCode>General</c:formatCode>
                <c:ptCount val="11"/>
                <c:pt idx="0">
                  <c:v>913.3</c:v>
                </c:pt>
                <c:pt idx="1">
                  <c:v>960.9</c:v>
                </c:pt>
                <c:pt idx="2">
                  <c:v>1004.4</c:v>
                </c:pt>
                <c:pt idx="3">
                  <c:v>1029.9</c:v>
                </c:pt>
                <c:pt idx="4">
                  <c:v>1075.5</c:v>
                </c:pt>
                <c:pt idx="5">
                  <c:v>1108.7</c:v>
                </c:pt>
                <c:pt idx="6">
                  <c:v>1159.4</c:v>
                </c:pt>
                <c:pt idx="7">
                  <c:v>1218.7</c:v>
                </c:pt>
                <c:pt idx="8">
                  <c:v>1259.3</c:v>
                </c:pt>
                <c:pt idx="9">
                  <c:v>1267.1</c:v>
                </c:pt>
                <c:pt idx="10">
                  <c:v>1292.1</c:v>
                </c:pt>
              </c:numCache>
            </c:numRef>
          </c:xVal>
          <c:yVal>
            <c:numRef>
              <c:f>Feuil1!$C$3:$C$13</c:f>
              <c:numCache>
                <c:formatCode>General</c:formatCode>
                <c:ptCount val="11"/>
                <c:pt idx="0">
                  <c:v>782.2</c:v>
                </c:pt>
                <c:pt idx="1">
                  <c:v>816.3</c:v>
                </c:pt>
                <c:pt idx="2">
                  <c:v>840.6</c:v>
                </c:pt>
                <c:pt idx="3">
                  <c:v>872.5</c:v>
                </c:pt>
                <c:pt idx="4">
                  <c:v>906.6</c:v>
                </c:pt>
                <c:pt idx="5">
                  <c:v>946.1</c:v>
                </c:pt>
                <c:pt idx="6">
                  <c:v>986.6</c:v>
                </c:pt>
                <c:pt idx="7">
                  <c:v>1030.5</c:v>
                </c:pt>
                <c:pt idx="8">
                  <c:v>1063.7</c:v>
                </c:pt>
                <c:pt idx="9">
                  <c:v>1057.8</c:v>
                </c:pt>
                <c:pt idx="10">
                  <c:v>1084.8</c:v>
                </c:pt>
              </c:numCache>
            </c:numRef>
          </c:yVal>
        </c:ser>
        <c:axId val="662954024"/>
        <c:axId val="573106952"/>
      </c:scatterChart>
      <c:valAx>
        <c:axId val="662954024"/>
        <c:scaling>
          <c:orientation val="minMax"/>
          <c:min val="900.0"/>
        </c:scaling>
        <c:axPos val="b"/>
        <c:majorGridlines/>
        <c:minorGridlines/>
        <c:title>
          <c:tx>
            <c:rich>
              <a:bodyPr/>
              <a:lstStyle/>
              <a:p>
                <a:pPr>
                  <a:defRPr lang="fr-FR"/>
                </a:pPr>
                <a:r>
                  <a:rPr lang="en-US"/>
                  <a:t>RDB</a:t>
                </a:r>
              </a:p>
            </c:rich>
          </c:tx>
        </c:title>
        <c:numFmt formatCode="General" sourceLinked="1"/>
        <c:tickLblPos val="nextTo"/>
        <c:txPr>
          <a:bodyPr/>
          <a:lstStyle/>
          <a:p>
            <a:pPr>
              <a:defRPr lang="fr-FR"/>
            </a:pPr>
            <a:endParaRPr lang="en-US"/>
          </a:p>
        </c:txPr>
        <c:crossAx val="573106952"/>
        <c:crosses val="autoZero"/>
        <c:crossBetween val="midCat"/>
      </c:valAx>
      <c:valAx>
        <c:axId val="573106952"/>
        <c:scaling>
          <c:orientation val="minMax"/>
          <c:min val="750.0"/>
        </c:scaling>
        <c:axPos val="l"/>
        <c:majorGridlines/>
        <c:title>
          <c:tx>
            <c:rich>
              <a:bodyPr rot="-5400000" vert="horz"/>
              <a:lstStyle/>
              <a:p>
                <a:pPr>
                  <a:defRPr lang="fr-FR"/>
                </a:pPr>
                <a:r>
                  <a:rPr lang="en-US"/>
                  <a:t>Consommation finale des ménages</a:t>
                </a:r>
              </a:p>
            </c:rich>
          </c:tx>
        </c:title>
        <c:numFmt formatCode="General" sourceLinked="1"/>
        <c:tickLblPos val="nextTo"/>
        <c:txPr>
          <a:bodyPr/>
          <a:lstStyle/>
          <a:p>
            <a:pPr>
              <a:defRPr lang="fr-FR"/>
            </a:pPr>
            <a:endParaRPr lang="en-US"/>
          </a:p>
        </c:txPr>
        <c:crossAx val="662954024"/>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lineChart>
        <c:grouping val="standard"/>
        <c:ser>
          <c:idx val="0"/>
          <c:order val="0"/>
          <c:tx>
            <c:strRef>
              <c:f>Feuil1!$B$2</c:f>
              <c:strCache>
                <c:ptCount val="1"/>
                <c:pt idx="0">
                  <c:v>Consom.</c:v>
                </c:pt>
              </c:strCache>
            </c:strRef>
          </c:tx>
          <c:marker>
            <c:symbol val="diamond"/>
            <c:size val="4"/>
          </c:marker>
          <c:cat>
            <c:numRef>
              <c:f>Feuil1!$A$3:$A$28</c:f>
              <c:numCache>
                <c:formatCode>General</c:formatCode>
                <c:ptCount val="26"/>
                <c:pt idx="0">
                  <c:v>0.0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numCache>
            </c:numRef>
          </c:cat>
          <c:val>
            <c:numRef>
              <c:f>Feuil1!$B$3:$B$28</c:f>
              <c:numCache>
                <c:formatCode>General</c:formatCode>
                <c:ptCount val="26"/>
                <c:pt idx="0">
                  <c:v>30.0</c:v>
                </c:pt>
                <c:pt idx="1">
                  <c:v>110.0</c:v>
                </c:pt>
                <c:pt idx="2">
                  <c:v>190.0</c:v>
                </c:pt>
                <c:pt idx="3">
                  <c:v>270.0</c:v>
                </c:pt>
                <c:pt idx="4">
                  <c:v>350.0</c:v>
                </c:pt>
                <c:pt idx="5">
                  <c:v>430.0</c:v>
                </c:pt>
                <c:pt idx="6">
                  <c:v>510.0</c:v>
                </c:pt>
                <c:pt idx="7">
                  <c:v>590.0</c:v>
                </c:pt>
                <c:pt idx="8">
                  <c:v>670.0</c:v>
                </c:pt>
                <c:pt idx="9">
                  <c:v>750.0</c:v>
                </c:pt>
                <c:pt idx="10">
                  <c:v>830.0</c:v>
                </c:pt>
                <c:pt idx="11">
                  <c:v>910.0</c:v>
                </c:pt>
                <c:pt idx="12">
                  <c:v>990.0</c:v>
                </c:pt>
                <c:pt idx="13">
                  <c:v>1070.0</c:v>
                </c:pt>
                <c:pt idx="14">
                  <c:v>1150.0</c:v>
                </c:pt>
                <c:pt idx="15">
                  <c:v>1230.0</c:v>
                </c:pt>
                <c:pt idx="16">
                  <c:v>1310.0</c:v>
                </c:pt>
                <c:pt idx="17">
                  <c:v>1390.0</c:v>
                </c:pt>
                <c:pt idx="18">
                  <c:v>1470.0</c:v>
                </c:pt>
                <c:pt idx="19">
                  <c:v>1550.0</c:v>
                </c:pt>
                <c:pt idx="20">
                  <c:v>1630.0</c:v>
                </c:pt>
                <c:pt idx="21">
                  <c:v>1710.0</c:v>
                </c:pt>
                <c:pt idx="22">
                  <c:v>1790.0</c:v>
                </c:pt>
                <c:pt idx="23">
                  <c:v>1870.0</c:v>
                </c:pt>
                <c:pt idx="24">
                  <c:v>1950.0</c:v>
                </c:pt>
                <c:pt idx="25">
                  <c:v>2030.0</c:v>
                </c:pt>
              </c:numCache>
            </c:numRef>
          </c:val>
        </c:ser>
        <c:ser>
          <c:idx val="1"/>
          <c:order val="1"/>
          <c:tx>
            <c:strRef>
              <c:f>Feuil1!$C$2</c:f>
              <c:strCache>
                <c:ptCount val="1"/>
                <c:pt idx="0">
                  <c:v>C+I</c:v>
                </c:pt>
              </c:strCache>
            </c:strRef>
          </c:tx>
          <c:marker>
            <c:symbol val="square"/>
            <c:size val="4"/>
          </c:marker>
          <c:cat>
            <c:numRef>
              <c:f>Feuil1!$A$3:$A$28</c:f>
              <c:numCache>
                <c:formatCode>General</c:formatCode>
                <c:ptCount val="26"/>
                <c:pt idx="0">
                  <c:v>0.0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numCache>
            </c:numRef>
          </c:cat>
          <c:val>
            <c:numRef>
              <c:f>Feuil1!$C$3:$C$28</c:f>
              <c:numCache>
                <c:formatCode>General</c:formatCode>
                <c:ptCount val="26"/>
                <c:pt idx="0">
                  <c:v>380.0</c:v>
                </c:pt>
                <c:pt idx="1">
                  <c:v>460.0</c:v>
                </c:pt>
                <c:pt idx="2">
                  <c:v>540.0</c:v>
                </c:pt>
                <c:pt idx="3">
                  <c:v>620.0</c:v>
                </c:pt>
                <c:pt idx="4">
                  <c:v>700.0</c:v>
                </c:pt>
                <c:pt idx="5">
                  <c:v>780.0</c:v>
                </c:pt>
                <c:pt idx="6">
                  <c:v>860.0</c:v>
                </c:pt>
                <c:pt idx="7">
                  <c:v>940.0</c:v>
                </c:pt>
                <c:pt idx="8">
                  <c:v>1020.0</c:v>
                </c:pt>
                <c:pt idx="9">
                  <c:v>1100.0</c:v>
                </c:pt>
                <c:pt idx="10">
                  <c:v>1180.0</c:v>
                </c:pt>
                <c:pt idx="11">
                  <c:v>1260.0</c:v>
                </c:pt>
                <c:pt idx="12">
                  <c:v>1340.0</c:v>
                </c:pt>
                <c:pt idx="13">
                  <c:v>1420.0</c:v>
                </c:pt>
                <c:pt idx="14">
                  <c:v>1500.0</c:v>
                </c:pt>
                <c:pt idx="15">
                  <c:v>1580.0</c:v>
                </c:pt>
                <c:pt idx="16">
                  <c:v>1660.0</c:v>
                </c:pt>
                <c:pt idx="17">
                  <c:v>1740.0</c:v>
                </c:pt>
                <c:pt idx="18">
                  <c:v>1820.0</c:v>
                </c:pt>
                <c:pt idx="19">
                  <c:v>1900.0</c:v>
                </c:pt>
                <c:pt idx="20">
                  <c:v>1980.0</c:v>
                </c:pt>
                <c:pt idx="21">
                  <c:v>2060.0</c:v>
                </c:pt>
                <c:pt idx="22">
                  <c:v>2140.0</c:v>
                </c:pt>
                <c:pt idx="23">
                  <c:v>2220.0</c:v>
                </c:pt>
                <c:pt idx="24">
                  <c:v>2300.0</c:v>
                </c:pt>
                <c:pt idx="25">
                  <c:v>2380.0</c:v>
                </c:pt>
              </c:numCache>
            </c:numRef>
          </c:val>
        </c:ser>
        <c:ser>
          <c:idx val="2"/>
          <c:order val="2"/>
          <c:tx>
            <c:strRef>
              <c:f>Feuil1!$D$2</c:f>
              <c:strCache>
                <c:ptCount val="1"/>
                <c:pt idx="0">
                  <c:v>Y</c:v>
                </c:pt>
              </c:strCache>
            </c:strRef>
          </c:tx>
          <c:marker>
            <c:symbol val="triangle"/>
            <c:size val="4"/>
          </c:marker>
          <c:cat>
            <c:numRef>
              <c:f>Feuil1!$A$3:$A$28</c:f>
              <c:numCache>
                <c:formatCode>General</c:formatCode>
                <c:ptCount val="26"/>
                <c:pt idx="0">
                  <c:v>0.0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numCache>
            </c:numRef>
          </c:cat>
          <c:val>
            <c:numRef>
              <c:f>Feuil1!$D$3:$D$28</c:f>
              <c:numCache>
                <c:formatCode>General</c:formatCode>
                <c:ptCount val="26"/>
                <c:pt idx="0">
                  <c:v>0.0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numCache>
            </c:numRef>
          </c:val>
        </c:ser>
        <c:ser>
          <c:idx val="3"/>
          <c:order val="3"/>
          <c:tx>
            <c:strRef>
              <c:f>Feuil1!$E$2</c:f>
              <c:strCache>
                <c:ptCount val="1"/>
                <c:pt idx="0">
                  <c:v>Epargne</c:v>
                </c:pt>
              </c:strCache>
            </c:strRef>
          </c:tx>
          <c:marker>
            <c:symbol val="x"/>
            <c:size val="4"/>
          </c:marker>
          <c:cat>
            <c:numRef>
              <c:f>Feuil1!$A$3:$A$28</c:f>
              <c:numCache>
                <c:formatCode>General</c:formatCode>
                <c:ptCount val="26"/>
                <c:pt idx="0">
                  <c:v>0.0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numCache>
            </c:numRef>
          </c:cat>
          <c:val>
            <c:numRef>
              <c:f>Feuil1!$E$3:$E$28</c:f>
              <c:numCache>
                <c:formatCode>General</c:formatCode>
                <c:ptCount val="26"/>
                <c:pt idx="0">
                  <c:v>-30.0</c:v>
                </c:pt>
                <c:pt idx="1">
                  <c:v>-10.0</c:v>
                </c:pt>
                <c:pt idx="2">
                  <c:v>10.0</c:v>
                </c:pt>
                <c:pt idx="3">
                  <c:v>30.0</c:v>
                </c:pt>
                <c:pt idx="4">
                  <c:v>50.0</c:v>
                </c:pt>
                <c:pt idx="5">
                  <c:v>70.0</c:v>
                </c:pt>
                <c:pt idx="6">
                  <c:v>90.0</c:v>
                </c:pt>
                <c:pt idx="7">
                  <c:v>110.0</c:v>
                </c:pt>
                <c:pt idx="8">
                  <c:v>130.0</c:v>
                </c:pt>
                <c:pt idx="9">
                  <c:v>150.0</c:v>
                </c:pt>
                <c:pt idx="10">
                  <c:v>170.0</c:v>
                </c:pt>
                <c:pt idx="11">
                  <c:v>190.0</c:v>
                </c:pt>
                <c:pt idx="12">
                  <c:v>210.0</c:v>
                </c:pt>
                <c:pt idx="13">
                  <c:v>230.0</c:v>
                </c:pt>
                <c:pt idx="14">
                  <c:v>250.0</c:v>
                </c:pt>
                <c:pt idx="15">
                  <c:v>270.0</c:v>
                </c:pt>
                <c:pt idx="16">
                  <c:v>290.0</c:v>
                </c:pt>
                <c:pt idx="17">
                  <c:v>310.0</c:v>
                </c:pt>
                <c:pt idx="18">
                  <c:v>330.0</c:v>
                </c:pt>
                <c:pt idx="19">
                  <c:v>350.0</c:v>
                </c:pt>
                <c:pt idx="20">
                  <c:v>370.0</c:v>
                </c:pt>
                <c:pt idx="21">
                  <c:v>390.0</c:v>
                </c:pt>
                <c:pt idx="22">
                  <c:v>410.0</c:v>
                </c:pt>
                <c:pt idx="23">
                  <c:v>430.0</c:v>
                </c:pt>
                <c:pt idx="24">
                  <c:v>450.0</c:v>
                </c:pt>
                <c:pt idx="25">
                  <c:v>470.0</c:v>
                </c:pt>
              </c:numCache>
            </c:numRef>
          </c:val>
        </c:ser>
        <c:ser>
          <c:idx val="4"/>
          <c:order val="4"/>
          <c:tx>
            <c:strRef>
              <c:f>Feuil1!$F$2</c:f>
              <c:strCache>
                <c:ptCount val="1"/>
                <c:pt idx="0">
                  <c:v>Invest. 1</c:v>
                </c:pt>
              </c:strCache>
            </c:strRef>
          </c:tx>
          <c:marker>
            <c:symbol val="star"/>
            <c:size val="4"/>
          </c:marker>
          <c:cat>
            <c:numRef>
              <c:f>Feuil1!$A$3:$A$28</c:f>
              <c:numCache>
                <c:formatCode>General</c:formatCode>
                <c:ptCount val="26"/>
                <c:pt idx="0">
                  <c:v>0.0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numCache>
            </c:numRef>
          </c:cat>
          <c:val>
            <c:numRef>
              <c:f>Feuil1!$F$3:$F$28</c:f>
              <c:numCache>
                <c:formatCode>General</c:formatCode>
                <c:ptCount val="26"/>
                <c:pt idx="0">
                  <c:v>350.0</c:v>
                </c:pt>
                <c:pt idx="1">
                  <c:v>350.0</c:v>
                </c:pt>
                <c:pt idx="2">
                  <c:v>350.0</c:v>
                </c:pt>
                <c:pt idx="3">
                  <c:v>350.0</c:v>
                </c:pt>
                <c:pt idx="4">
                  <c:v>350.0</c:v>
                </c:pt>
                <c:pt idx="5">
                  <c:v>350.0</c:v>
                </c:pt>
                <c:pt idx="6">
                  <c:v>350.0</c:v>
                </c:pt>
                <c:pt idx="7">
                  <c:v>350.0</c:v>
                </c:pt>
                <c:pt idx="8">
                  <c:v>350.0</c:v>
                </c:pt>
                <c:pt idx="9">
                  <c:v>350.0</c:v>
                </c:pt>
                <c:pt idx="10">
                  <c:v>350.0</c:v>
                </c:pt>
                <c:pt idx="11">
                  <c:v>350.0</c:v>
                </c:pt>
                <c:pt idx="12">
                  <c:v>350.0</c:v>
                </c:pt>
                <c:pt idx="13">
                  <c:v>350.0</c:v>
                </c:pt>
                <c:pt idx="14">
                  <c:v>350.0</c:v>
                </c:pt>
                <c:pt idx="15">
                  <c:v>350.0</c:v>
                </c:pt>
                <c:pt idx="16">
                  <c:v>350.0</c:v>
                </c:pt>
                <c:pt idx="17">
                  <c:v>350.0</c:v>
                </c:pt>
                <c:pt idx="18">
                  <c:v>350.0</c:v>
                </c:pt>
                <c:pt idx="19">
                  <c:v>350.0</c:v>
                </c:pt>
                <c:pt idx="20">
                  <c:v>350.0</c:v>
                </c:pt>
                <c:pt idx="21">
                  <c:v>350.0</c:v>
                </c:pt>
                <c:pt idx="22">
                  <c:v>350.0</c:v>
                </c:pt>
                <c:pt idx="23">
                  <c:v>350.0</c:v>
                </c:pt>
                <c:pt idx="24">
                  <c:v>350.0</c:v>
                </c:pt>
                <c:pt idx="25">
                  <c:v>350.0</c:v>
                </c:pt>
              </c:numCache>
            </c:numRef>
          </c:val>
        </c:ser>
        <c:marker val="1"/>
        <c:axId val="551947032"/>
        <c:axId val="551973768"/>
      </c:lineChart>
      <c:catAx>
        <c:axId val="551947032"/>
        <c:scaling>
          <c:orientation val="minMax"/>
        </c:scaling>
        <c:axPos val="b"/>
        <c:majorGridlines/>
        <c:minorGridlines/>
        <c:numFmt formatCode="General" sourceLinked="1"/>
        <c:tickLblPos val="nextTo"/>
        <c:txPr>
          <a:bodyPr/>
          <a:lstStyle/>
          <a:p>
            <a:pPr>
              <a:defRPr lang="fr-FR"/>
            </a:pPr>
            <a:endParaRPr lang="en-US"/>
          </a:p>
        </c:txPr>
        <c:crossAx val="551973768"/>
        <c:crosses val="autoZero"/>
        <c:auto val="1"/>
        <c:lblAlgn val="ctr"/>
        <c:lblOffset val="100"/>
      </c:catAx>
      <c:valAx>
        <c:axId val="551973768"/>
        <c:scaling>
          <c:orientation val="minMax"/>
          <c:max val="2500.0"/>
        </c:scaling>
        <c:axPos val="l"/>
        <c:majorGridlines/>
        <c:minorGridlines/>
        <c:numFmt formatCode="General" sourceLinked="1"/>
        <c:tickLblPos val="nextTo"/>
        <c:txPr>
          <a:bodyPr/>
          <a:lstStyle/>
          <a:p>
            <a:pPr>
              <a:defRPr lang="fr-FR"/>
            </a:pPr>
            <a:endParaRPr lang="en-US"/>
          </a:p>
        </c:txPr>
        <c:crossAx val="551947032"/>
        <c:crosses val="autoZero"/>
        <c:crossBetween val="midCat"/>
      </c:valAx>
    </c:plotArea>
    <c:legend>
      <c:legendPos val="r"/>
      <c:txPr>
        <a:bodyPr/>
        <a:lstStyle/>
        <a:p>
          <a:pPr>
            <a:defRPr lang="fr-FR"/>
          </a:pPr>
          <a:endParaRPr lang="en-US"/>
        </a:p>
      </c:txP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docPart>
      <w:docPartPr>
        <w:name w:val="E10BD90DD9EC4B02A0E8C67CA4FDCDE9"/>
        <w:category>
          <w:name w:val="Général"/>
          <w:gallery w:val="placeholder"/>
        </w:category>
        <w:types>
          <w:type w:val="bbPlcHdr"/>
        </w:types>
        <w:behaviors>
          <w:behavior w:val="content"/>
        </w:behaviors>
        <w:guid w:val="{7FAF7A86-931D-4E74-8B23-AD7F60010EBA}"/>
      </w:docPartPr>
      <w:docPartBody>
        <w:p w:rsidR="00700D6E" w:rsidRDefault="005862A4" w:rsidP="005862A4">
          <w:pPr>
            <w:pStyle w:val="E10BD90DD9EC4B02A0E8C67CA4FDCDE9"/>
          </w:pPr>
          <w:r>
            <w:rPr>
              <w:rFonts w:asciiTheme="majorHAnsi" w:eastAsiaTheme="majorEastAsia" w:hAnsiTheme="majorHAnsi" w:cstheme="majorBidi"/>
              <w:sz w:val="36"/>
              <w:szCs w:val="36"/>
            </w:rPr>
            <w:t>[Tapez le titre du document]</w:t>
          </w:r>
        </w:p>
      </w:docPartBody>
    </w:docPart>
    <w:docPart>
      <w:docPartPr>
        <w:name w:val="0FE9B29F17B34DA3BF40B8DB15027477"/>
        <w:category>
          <w:name w:val="Général"/>
          <w:gallery w:val="placeholder"/>
        </w:category>
        <w:types>
          <w:type w:val="bbPlcHdr"/>
        </w:types>
        <w:behaviors>
          <w:behavior w:val="content"/>
        </w:behaviors>
        <w:guid w:val="{79BA8D92-5DE4-4B06-B808-C803BF9DCA29}"/>
      </w:docPartPr>
      <w:docPartBody>
        <w:p w:rsidR="00700D6E" w:rsidRDefault="005862A4" w:rsidP="005862A4">
          <w:pPr>
            <w:pStyle w:val="0FE9B29F17B34DA3BF40B8DB15027477"/>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5862A4"/>
    <w:rsid w:val="00202404"/>
    <w:rsid w:val="002A578A"/>
    <w:rsid w:val="003857B8"/>
    <w:rsid w:val="003B4E57"/>
    <w:rsid w:val="003E3FB8"/>
    <w:rsid w:val="004277FE"/>
    <w:rsid w:val="004A51A8"/>
    <w:rsid w:val="005862A4"/>
    <w:rsid w:val="00637C1F"/>
    <w:rsid w:val="00700D6E"/>
    <w:rsid w:val="00810B35"/>
    <w:rsid w:val="00900A2E"/>
    <w:rsid w:val="00A20B55"/>
    <w:rsid w:val="00CA07E0"/>
    <w:rsid w:val="00F05A61"/>
    <w:rsid w:val="00FE60E7"/>
    <w:rsid w:val="00FF54D0"/>
  </w:rsids>
  <m:mathPr>
    <m:mathFont m:val="Segoe Prin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D6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E10BD90DD9EC4B02A0E8C67CA4FDCDE9">
    <w:name w:val="E10BD90DD9EC4B02A0E8C67CA4FDCDE9"/>
    <w:rsid w:val="005862A4"/>
  </w:style>
  <w:style w:type="paragraph" w:customStyle="1" w:styleId="0FE9B29F17B34DA3BF40B8DB15027477">
    <w:name w:val="0FE9B29F17B34DA3BF40B8DB15027477"/>
    <w:rsid w:val="005862A4"/>
  </w:style>
  <w:style w:type="paragraph" w:customStyle="1" w:styleId="F0526C4B4C31428B82F83A60626044DF">
    <w:name w:val="F0526C4B4C31428B82F83A60626044DF"/>
    <w:rsid w:val="00A20B55"/>
  </w:style>
  <w:style w:type="character" w:styleId="PlaceholderText">
    <w:name w:val="Placeholder Text"/>
    <w:basedOn w:val="DefaultParagraphFont"/>
    <w:uiPriority w:val="99"/>
    <w:semiHidden/>
    <w:rsid w:val="00FF54D0"/>
    <w:rPr>
      <w:color w:val="808080"/>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B928FA-6772-4818-9254-C7F88903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3382</Words>
  <Characters>19281</Characters>
  <Application>Microsoft Word 12.0.0</Application>
  <DocSecurity>0</DocSecurity>
  <Lines>160</Lines>
  <Paragraphs>38</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B. Engelhardt-Bitrian    Economie Politique</vt:lpstr>
      <vt:lpstr>T.D.8  CORRECTION</vt:lpstr>
      <vt:lpstr>T.D.8 (suite)</vt:lpstr>
      <vt:lpstr>    T = t*Y    (2)</vt:lpstr>
    </vt:vector>
  </TitlesOfParts>
  <Company/>
  <LinksUpToDate>false</LinksUpToDate>
  <CharactersWithSpaces>23678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Engelhardt-Bitrian    Economie Politique</dc:title>
  <dc:creator>Brigitte</dc:creator>
  <cp:lastModifiedBy>GEA Nantes</cp:lastModifiedBy>
  <cp:revision>2</cp:revision>
  <dcterms:created xsi:type="dcterms:W3CDTF">2012-04-02T10:01:00Z</dcterms:created>
  <dcterms:modified xsi:type="dcterms:W3CDTF">2012-04-02T10:01:00Z</dcterms:modified>
</cp:coreProperties>
</file>