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B7508" w:rsidRDefault="008E79B4">
      <w:r>
        <w:t xml:space="preserve">Psychologie TD </w:t>
      </w:r>
      <w:r w:rsidR="00607623">
        <w:t>n° 1 et 2 sur les trois courant de pensé.</w:t>
      </w:r>
    </w:p>
    <w:tbl>
      <w:tblPr>
        <w:tblStyle w:val="LightList"/>
        <w:tblW w:w="11342" w:type="dxa"/>
        <w:tblInd w:w="-885" w:type="dxa"/>
        <w:tblLayout w:type="fixed"/>
        <w:tblLook w:val="04A0"/>
      </w:tblPr>
      <w:tblGrid>
        <w:gridCol w:w="3545"/>
        <w:gridCol w:w="3686"/>
        <w:gridCol w:w="4111"/>
      </w:tblGrid>
      <w:tr w:rsidR="00C12BF3">
        <w:trPr>
          <w:cnfStyle w:val="100000000000"/>
        </w:trPr>
        <w:tc>
          <w:tcPr>
            <w:cnfStyle w:val="001000000000"/>
            <w:tcW w:w="3545" w:type="dxa"/>
            <w:shd w:val="clear" w:color="auto" w:fill="548DD4" w:themeFill="text2" w:themeFillTint="99"/>
            <w:vAlign w:val="center"/>
          </w:tcPr>
          <w:p w:rsidR="008E79B4" w:rsidRDefault="008E79B4" w:rsidP="008E79B4">
            <w:pPr>
              <w:jc w:val="center"/>
            </w:pPr>
            <w:r>
              <w:t>L’EXPERIENCE DE MILGRAM</w:t>
            </w:r>
          </w:p>
        </w:tc>
        <w:tc>
          <w:tcPr>
            <w:tcW w:w="3686" w:type="dxa"/>
            <w:shd w:val="clear" w:color="auto" w:fill="548DD4" w:themeFill="text2" w:themeFillTint="99"/>
            <w:vAlign w:val="center"/>
          </w:tcPr>
          <w:p w:rsidR="008E79B4" w:rsidRDefault="008E79B4" w:rsidP="008E79B4">
            <w:pPr>
              <w:jc w:val="center"/>
              <w:cnfStyle w:val="100000000000"/>
            </w:pPr>
            <w:r>
              <w:t>LA METHODE DE FESTINGER</w:t>
            </w:r>
          </w:p>
        </w:tc>
        <w:tc>
          <w:tcPr>
            <w:tcW w:w="4111" w:type="dxa"/>
            <w:shd w:val="clear" w:color="auto" w:fill="548DD4" w:themeFill="text2" w:themeFillTint="99"/>
            <w:vAlign w:val="center"/>
          </w:tcPr>
          <w:p w:rsidR="008E79B4" w:rsidRDefault="008E79B4" w:rsidP="008E79B4">
            <w:pPr>
              <w:jc w:val="center"/>
              <w:cnfStyle w:val="100000000000"/>
            </w:pPr>
          </w:p>
          <w:p w:rsidR="008E79B4" w:rsidRDefault="008E79B4" w:rsidP="008E79B4">
            <w:pPr>
              <w:jc w:val="center"/>
              <w:cnfStyle w:val="100000000000"/>
            </w:pPr>
            <w:r>
              <w:t>LA METHODE D’ADORNO</w:t>
            </w:r>
          </w:p>
          <w:p w:rsidR="008E79B4" w:rsidRDefault="008E79B4" w:rsidP="008E79B4">
            <w:pPr>
              <w:jc w:val="center"/>
              <w:cnfStyle w:val="100000000000"/>
            </w:pPr>
          </w:p>
        </w:tc>
      </w:tr>
      <w:tr w:rsidR="00C12BF3" w:rsidRPr="003D3D76">
        <w:trPr>
          <w:cnfStyle w:val="000000100000"/>
        </w:trPr>
        <w:tc>
          <w:tcPr>
            <w:cnfStyle w:val="001000000000"/>
            <w:tcW w:w="3545" w:type="dxa"/>
          </w:tcPr>
          <w:p w:rsidR="008E79B4" w:rsidRPr="003D3D76" w:rsidRDefault="008E79B4">
            <w:pPr>
              <w:rPr>
                <w:b w:val="0"/>
              </w:rPr>
            </w:pPr>
          </w:p>
          <w:p w:rsidR="008E79B4" w:rsidRPr="003D3D76" w:rsidRDefault="008E79B4" w:rsidP="003D3D76">
            <w:pPr>
              <w:rPr>
                <w:b w:val="0"/>
                <w:u w:val="single"/>
              </w:rPr>
            </w:pPr>
            <w:r w:rsidRPr="003D3D76">
              <w:rPr>
                <w:b w:val="0"/>
                <w:u w:val="single"/>
              </w:rPr>
              <w:t>Soumission à l’autorité</w:t>
            </w:r>
          </w:p>
          <w:p w:rsidR="004B1FCF" w:rsidRPr="003D3D76" w:rsidRDefault="004B1FCF" w:rsidP="004B1FCF">
            <w:pPr>
              <w:pStyle w:val="ListParagraph"/>
              <w:rPr>
                <w:b w:val="0"/>
                <w:u w:val="single"/>
              </w:rPr>
            </w:pPr>
          </w:p>
          <w:p w:rsidR="008E79B4" w:rsidRPr="003D3D76" w:rsidRDefault="008E79B4" w:rsidP="003D3D76">
            <w:pPr>
              <w:rPr>
                <w:b w:val="0"/>
                <w:u w:val="single"/>
              </w:rPr>
            </w:pPr>
            <w:r w:rsidRPr="003D3D76">
              <w:rPr>
                <w:b w:val="0"/>
                <w:u w:val="single"/>
              </w:rPr>
              <w:t xml:space="preserve">Les personnages </w:t>
            </w:r>
          </w:p>
          <w:p w:rsidR="008E79B4" w:rsidRPr="003D3D76" w:rsidRDefault="008E79B4" w:rsidP="003D3D76">
            <w:pPr>
              <w:pStyle w:val="ListParagraph"/>
              <w:ind w:left="176"/>
              <w:rPr>
                <w:b w:val="0"/>
              </w:rPr>
            </w:pPr>
            <w:r w:rsidRPr="003D3D76">
              <w:rPr>
                <w:b w:val="0"/>
              </w:rPr>
              <w:t>Le professeur : le sujet naïf</w:t>
            </w:r>
          </w:p>
          <w:p w:rsidR="008E79B4" w:rsidRPr="003D3D76" w:rsidRDefault="008E79B4" w:rsidP="003D3D76">
            <w:pPr>
              <w:pStyle w:val="ListParagraph"/>
              <w:ind w:left="176"/>
              <w:rPr>
                <w:b w:val="0"/>
              </w:rPr>
            </w:pPr>
            <w:r w:rsidRPr="003D3D76">
              <w:rPr>
                <w:b w:val="0"/>
              </w:rPr>
              <w:t>L’élève : acteur sujet compère</w:t>
            </w:r>
          </w:p>
          <w:p w:rsidR="008E79B4" w:rsidRPr="003D3D76" w:rsidRDefault="008E79B4" w:rsidP="003D3D76">
            <w:pPr>
              <w:pStyle w:val="ListParagraph"/>
              <w:ind w:left="176"/>
              <w:rPr>
                <w:b w:val="0"/>
              </w:rPr>
            </w:pPr>
            <w:r w:rsidRPr="003D3D76">
              <w:rPr>
                <w:b w:val="0"/>
              </w:rPr>
              <w:t>L’expérimentateur : acteur l’autorité</w:t>
            </w:r>
          </w:p>
          <w:p w:rsidR="004B1FCF" w:rsidRPr="003D3D76" w:rsidRDefault="004B1FCF" w:rsidP="003D3D76">
            <w:pPr>
              <w:pStyle w:val="ListParagraph"/>
              <w:ind w:left="176"/>
              <w:rPr>
                <w:b w:val="0"/>
              </w:rPr>
            </w:pPr>
          </w:p>
          <w:p w:rsidR="008E79B4" w:rsidRPr="003D3D76" w:rsidRDefault="008E79B4" w:rsidP="003D3D76">
            <w:pPr>
              <w:pStyle w:val="ListParagraph"/>
              <w:numPr>
                <w:ilvl w:val="0"/>
                <w:numId w:val="1"/>
              </w:numPr>
              <w:ind w:left="176"/>
              <w:rPr>
                <w:b w:val="0"/>
                <w:u w:val="single"/>
              </w:rPr>
            </w:pPr>
            <w:r w:rsidRPr="003D3D76">
              <w:rPr>
                <w:b w:val="0"/>
                <w:u w:val="single"/>
              </w:rPr>
              <w:t>Le point commun entre l’élève et l’expérimentateur :</w:t>
            </w:r>
          </w:p>
          <w:p w:rsidR="008E79B4" w:rsidRPr="003D3D76" w:rsidRDefault="008E79B4" w:rsidP="003D3D76">
            <w:pPr>
              <w:pStyle w:val="ListParagraph"/>
              <w:ind w:left="176"/>
              <w:rPr>
                <w:b w:val="0"/>
                <w:i/>
              </w:rPr>
            </w:pPr>
            <w:r w:rsidRPr="003D3D76">
              <w:rPr>
                <w:b w:val="0"/>
                <w:i/>
              </w:rPr>
              <w:t>ils exercent une pression de manière contraire en répétant toujours les mêmes phrases aux sujets, les comportements sont prévus à l’avance</w:t>
            </w:r>
          </w:p>
          <w:p w:rsidR="004B1FCF" w:rsidRPr="003D3D76" w:rsidRDefault="004B1FCF" w:rsidP="003D3D76">
            <w:pPr>
              <w:pStyle w:val="ListParagraph"/>
              <w:ind w:left="176"/>
              <w:rPr>
                <w:b w:val="0"/>
                <w:i/>
              </w:rPr>
            </w:pPr>
          </w:p>
          <w:p w:rsidR="008E79B4" w:rsidRPr="003D3D76" w:rsidRDefault="008E79B4" w:rsidP="003D3D76">
            <w:pPr>
              <w:pStyle w:val="ListParagraph"/>
              <w:numPr>
                <w:ilvl w:val="0"/>
                <w:numId w:val="1"/>
              </w:numPr>
              <w:ind w:left="176"/>
              <w:rPr>
                <w:b w:val="0"/>
                <w:i/>
              </w:rPr>
            </w:pPr>
            <w:r w:rsidRPr="003D3D76">
              <w:rPr>
                <w:b w:val="0"/>
                <w:u w:val="single"/>
              </w:rPr>
              <w:t>VI</w:t>
            </w:r>
            <w:r w:rsidRPr="003D3D76">
              <w:rPr>
                <w:b w:val="0"/>
              </w:rPr>
              <w:t xml:space="preserve"> = variable indépendante ; </w:t>
            </w:r>
            <w:r w:rsidRPr="003D3D76">
              <w:rPr>
                <w:b w:val="0"/>
                <w:u w:val="single"/>
              </w:rPr>
              <w:t>VD</w:t>
            </w:r>
            <w:r w:rsidRPr="003D3D76">
              <w:rPr>
                <w:b w:val="0"/>
              </w:rPr>
              <w:t xml:space="preserve"> = variable dépendant ; le comportement du sujet naïf</w:t>
            </w:r>
          </w:p>
          <w:p w:rsidR="004B1FCF" w:rsidRPr="003D3D76" w:rsidRDefault="004B1FCF" w:rsidP="003D3D76">
            <w:pPr>
              <w:pStyle w:val="ListParagraph"/>
              <w:ind w:left="176"/>
              <w:rPr>
                <w:b w:val="0"/>
                <w:i/>
              </w:rPr>
            </w:pPr>
          </w:p>
          <w:p w:rsidR="004B1FCF" w:rsidRPr="003D3D76" w:rsidRDefault="008E79B4" w:rsidP="003D3D76">
            <w:pPr>
              <w:pStyle w:val="ListParagraph"/>
              <w:ind w:left="176"/>
              <w:rPr>
                <w:b w:val="0"/>
                <w:i/>
              </w:rPr>
            </w:pPr>
            <w:r w:rsidRPr="003D3D76">
              <w:rPr>
                <w:b w:val="0"/>
                <w:u w:val="single"/>
              </w:rPr>
              <w:t>L’explication valable des comportements observés :</w:t>
            </w:r>
            <w:r w:rsidRPr="003D3D76">
              <w:rPr>
                <w:b w:val="0"/>
              </w:rPr>
              <w:t xml:space="preserve"> </w:t>
            </w:r>
            <w:r w:rsidRPr="003D3D76">
              <w:rPr>
                <w:b w:val="0"/>
                <w:i/>
              </w:rPr>
              <w:t>les sujets déclinent la responsabilité de leur actes sur l’université de Yale qui représente l’autorité =</w:t>
            </w:r>
            <w:r w:rsidRPr="003D3D76">
              <w:rPr>
                <w:b w:val="0"/>
                <w:u w:val="single"/>
              </w:rPr>
              <w:t xml:space="preserve">l’autorité à </w:t>
            </w:r>
            <w:r w:rsidRPr="005628A7">
              <w:rPr>
                <w:u w:val="single"/>
              </w:rPr>
              <w:t xml:space="preserve">l’état </w:t>
            </w:r>
            <w:proofErr w:type="spellStart"/>
            <w:r w:rsidRPr="005628A7">
              <w:rPr>
                <w:u w:val="single"/>
              </w:rPr>
              <w:t>agentique</w:t>
            </w:r>
            <w:proofErr w:type="spellEnd"/>
            <w:r w:rsidR="005628A7">
              <w:rPr>
                <w:u w:val="single"/>
              </w:rPr>
              <w:t xml:space="preserve"> opposé mode autonome (l’individu assume ces actes)</w:t>
            </w:r>
          </w:p>
          <w:p w:rsidR="008E79B4" w:rsidRPr="003D3D76" w:rsidRDefault="008E79B4" w:rsidP="003D3D76">
            <w:pPr>
              <w:rPr>
                <w:b w:val="0"/>
                <w:i/>
              </w:rPr>
            </w:pPr>
            <w:r w:rsidRPr="003D3D76">
              <w:rPr>
                <w:b w:val="0"/>
                <w:u w:val="single"/>
              </w:rPr>
              <w:t>Les arguments qui exp</w:t>
            </w:r>
            <w:r w:rsidR="004B1FCF" w:rsidRPr="003D3D76">
              <w:rPr>
                <w:b w:val="0"/>
                <w:u w:val="single"/>
              </w:rPr>
              <w:t xml:space="preserve">liquent que les sujets </w:t>
            </w:r>
            <w:r w:rsidRPr="003D3D76">
              <w:rPr>
                <w:b w:val="0"/>
                <w:u w:val="single"/>
              </w:rPr>
              <w:t>obéissent à l’autorité :</w:t>
            </w:r>
          </w:p>
          <w:p w:rsidR="008E79B4" w:rsidRPr="003D3D76" w:rsidRDefault="004B1FCF" w:rsidP="003D3D76">
            <w:pPr>
              <w:pStyle w:val="ListParagraph"/>
              <w:numPr>
                <w:ilvl w:val="0"/>
                <w:numId w:val="2"/>
              </w:numPr>
              <w:ind w:left="459"/>
              <w:rPr>
                <w:b w:val="0"/>
                <w:i/>
              </w:rPr>
            </w:pPr>
            <w:r w:rsidRPr="003D3D76">
              <w:rPr>
                <w:b w:val="0"/>
              </w:rPr>
              <w:t>l’autorité légitime à qui ont doit obéir</w:t>
            </w:r>
          </w:p>
          <w:p w:rsidR="004B1FCF" w:rsidRPr="003D3D76" w:rsidRDefault="004B1FCF" w:rsidP="003D3D76">
            <w:pPr>
              <w:pStyle w:val="ListParagraph"/>
              <w:numPr>
                <w:ilvl w:val="0"/>
                <w:numId w:val="2"/>
              </w:numPr>
              <w:ind w:left="459"/>
              <w:rPr>
                <w:b w:val="0"/>
                <w:i/>
              </w:rPr>
            </w:pPr>
            <w:r w:rsidRPr="003D3D76">
              <w:rPr>
                <w:b w:val="0"/>
              </w:rPr>
              <w:t>l’autorité doit être cohérente</w:t>
            </w:r>
          </w:p>
          <w:p w:rsidR="004B1FCF" w:rsidRPr="003D3D76" w:rsidRDefault="004B1FCF" w:rsidP="003D3D76">
            <w:pPr>
              <w:pStyle w:val="ListParagraph"/>
              <w:numPr>
                <w:ilvl w:val="0"/>
                <w:numId w:val="2"/>
              </w:numPr>
              <w:ind w:left="459"/>
              <w:rPr>
                <w:b w:val="0"/>
                <w:i/>
              </w:rPr>
            </w:pPr>
            <w:r w:rsidRPr="003D3D76">
              <w:rPr>
                <w:b w:val="0"/>
              </w:rPr>
              <w:t>le concept de l’apprentissage</w:t>
            </w:r>
          </w:p>
          <w:p w:rsidR="008E79B4" w:rsidRPr="003D3D76" w:rsidRDefault="008E79B4" w:rsidP="004B1FCF">
            <w:pPr>
              <w:pStyle w:val="ListParagraph"/>
              <w:rPr>
                <w:b w:val="0"/>
                <w:i/>
              </w:rPr>
            </w:pPr>
          </w:p>
        </w:tc>
        <w:tc>
          <w:tcPr>
            <w:tcW w:w="3686" w:type="dxa"/>
          </w:tcPr>
          <w:p w:rsidR="008E79B4" w:rsidRPr="003D3D76" w:rsidRDefault="008E79B4">
            <w:pPr>
              <w:cnfStyle w:val="000000100000"/>
            </w:pPr>
          </w:p>
          <w:p w:rsidR="00F51D26" w:rsidRPr="003D3D76" w:rsidRDefault="002D08E9" w:rsidP="003D3D76">
            <w:pPr>
              <w:cnfStyle w:val="000000100000"/>
            </w:pPr>
            <w:r w:rsidRPr="003D3D76">
              <w:t xml:space="preserve">Objectifs théoriques de la secte : la théorie de la dissonance </w:t>
            </w:r>
            <w:r w:rsidR="00F51D26" w:rsidRPr="003D3D76">
              <w:t xml:space="preserve">cognitive </w:t>
            </w:r>
            <w:r w:rsidRPr="003D3D76">
              <w:t>=</w:t>
            </w:r>
            <w:r w:rsidR="00F51D26" w:rsidRPr="003D3D76">
              <w:t xml:space="preserve"> c’est le fait de réduire le taux de </w:t>
            </w:r>
            <w:r w:rsidR="00F51D26" w:rsidRPr="005628A7">
              <w:rPr>
                <w:b/>
              </w:rPr>
              <w:t>dissonance</w:t>
            </w:r>
            <w:r w:rsidR="005628A7">
              <w:t xml:space="preserve"> (incompatibilité entre les élément conatif = tension)</w:t>
            </w:r>
            <w:r w:rsidR="00F51D26" w:rsidRPr="003D3D76">
              <w:t xml:space="preserve"> en enlevant des éléments</w:t>
            </w:r>
            <w:r w:rsidR="00F51D26" w:rsidRPr="005628A7">
              <w:rPr>
                <w:b/>
              </w:rPr>
              <w:t xml:space="preserve"> consonant</w:t>
            </w:r>
            <w:r w:rsidR="005628A7">
              <w:t xml:space="preserve"> (l’un découle de l’autre)</w:t>
            </w:r>
            <w:r w:rsidR="00F51D26" w:rsidRPr="003D3D76">
              <w:t xml:space="preserve"> ou en en rajoutant.</w:t>
            </w:r>
          </w:p>
          <w:p w:rsidR="00C12BF3" w:rsidRPr="003D3D76" w:rsidRDefault="00C12BF3" w:rsidP="00C12BF3">
            <w:pPr>
              <w:pStyle w:val="ListParagraph"/>
              <w:cnfStyle w:val="000000100000"/>
            </w:pPr>
          </w:p>
          <w:p w:rsidR="00C12BF3" w:rsidRPr="003D3D76" w:rsidRDefault="00C12BF3" w:rsidP="003D3D76">
            <w:pPr>
              <w:cnfStyle w:val="000000100000"/>
            </w:pPr>
            <w:r w:rsidRPr="003D3D76">
              <w:t>Les caractéristiques de cette méthode :</w:t>
            </w:r>
          </w:p>
          <w:p w:rsidR="00C12BF3" w:rsidRPr="003D3D76" w:rsidRDefault="00C12BF3" w:rsidP="003D3D76">
            <w:pPr>
              <w:pStyle w:val="ListParagraph"/>
              <w:numPr>
                <w:ilvl w:val="0"/>
                <w:numId w:val="3"/>
              </w:numPr>
              <w:ind w:left="601"/>
              <w:cnfStyle w:val="000000100000"/>
            </w:pPr>
            <w:r w:rsidRPr="003D3D76">
              <w:t>Une situation réel et par le vif</w:t>
            </w:r>
          </w:p>
          <w:p w:rsidR="00C12BF3" w:rsidRPr="003D3D76" w:rsidRDefault="00C12BF3" w:rsidP="003D3D76">
            <w:pPr>
              <w:pStyle w:val="ListParagraph"/>
              <w:numPr>
                <w:ilvl w:val="0"/>
                <w:numId w:val="3"/>
              </w:numPr>
              <w:ind w:left="601"/>
              <w:cnfStyle w:val="000000100000"/>
            </w:pPr>
            <w:r w:rsidRPr="003D3D76">
              <w:t>Observation participante</w:t>
            </w:r>
          </w:p>
          <w:p w:rsidR="00C12BF3" w:rsidRPr="003D3D76" w:rsidRDefault="00C12BF3" w:rsidP="003D3D76">
            <w:pPr>
              <w:pStyle w:val="ListParagraph"/>
              <w:ind w:left="601"/>
              <w:cnfStyle w:val="000000100000"/>
            </w:pPr>
          </w:p>
          <w:p w:rsidR="00C12BF3" w:rsidRPr="003D3D76" w:rsidRDefault="00C12BF3" w:rsidP="003D3D76">
            <w:pPr>
              <w:pStyle w:val="ListParagraph"/>
              <w:numPr>
                <w:ilvl w:val="0"/>
                <w:numId w:val="3"/>
              </w:numPr>
              <w:ind w:left="601"/>
              <w:cnfStyle w:val="000000100000"/>
            </w:pPr>
            <w:r w:rsidRPr="003D3D76">
              <w:t>La différence entre MILGRAM et Festinger = mise en place d’une fiction fictive chez MILGRAM + Observation directe c’est le fait d’observer et de participer à l’action qu’on veut étudier.</w:t>
            </w:r>
          </w:p>
          <w:p w:rsidR="00C12BF3" w:rsidRPr="003D3D76" w:rsidRDefault="00C12BF3" w:rsidP="005628A7">
            <w:pPr>
              <w:cnfStyle w:val="000000100000"/>
            </w:pPr>
          </w:p>
          <w:p w:rsidR="004B1FCF" w:rsidRPr="003D3D76" w:rsidRDefault="00F51D26">
            <w:pPr>
              <w:cnfStyle w:val="000000100000"/>
            </w:pPr>
            <w:r w:rsidRPr="003D3D76">
              <w:t xml:space="preserve"> </w:t>
            </w:r>
          </w:p>
        </w:tc>
        <w:tc>
          <w:tcPr>
            <w:tcW w:w="4111" w:type="dxa"/>
          </w:tcPr>
          <w:p w:rsidR="008E79B4" w:rsidRPr="003D3D76" w:rsidRDefault="008E79B4">
            <w:pPr>
              <w:cnfStyle w:val="000000100000"/>
            </w:pPr>
          </w:p>
          <w:p w:rsidR="003D3D76" w:rsidRDefault="00C12BF3" w:rsidP="003D3D76">
            <w:pPr>
              <w:cnfStyle w:val="000000100000"/>
            </w:pPr>
            <w:r w:rsidRPr="003D3D76">
              <w:t xml:space="preserve">La personnalité autoritaire </w:t>
            </w:r>
            <w:r w:rsidR="004F4885" w:rsidRPr="003D3D76">
              <w:t>= c’est une personnalité qu’on ne peut aborder directement mais indirectement via les attitudes de différents secteurs qui permettent de mesurer l</w:t>
            </w:r>
            <w:r w:rsidR="00432C5A" w:rsidRPr="003D3D76">
              <w:t xml:space="preserve">es fondations cachées à aborder </w:t>
            </w:r>
            <w:proofErr w:type="gramStart"/>
            <w:r w:rsidR="00432C5A" w:rsidRPr="003D3D76">
              <w:t xml:space="preserve">indirectement </w:t>
            </w:r>
            <w:r w:rsidR="003D3D76">
              <w:t>.</w:t>
            </w:r>
            <w:proofErr w:type="gramEnd"/>
          </w:p>
          <w:p w:rsidR="00432C5A" w:rsidRPr="003D3D76" w:rsidRDefault="00432C5A" w:rsidP="003D3D76">
            <w:pPr>
              <w:cnfStyle w:val="000000100000"/>
            </w:pPr>
            <w:r w:rsidRPr="003D3D76">
              <w:t>Elle provient d’une éducation stricte qui induit chez le sujet l’idéalisation de l’autorité. Dans un même temps le sujet est en révolte contre l’autorité, et cette révolte se retourne donc et s’exprime contre des minorités.</w:t>
            </w:r>
          </w:p>
          <w:p w:rsidR="00432C5A" w:rsidRPr="003D3D76" w:rsidRDefault="00432C5A" w:rsidP="00432C5A">
            <w:pPr>
              <w:pStyle w:val="ListParagraph"/>
              <w:cnfStyle w:val="000000100000"/>
            </w:pPr>
          </w:p>
          <w:p w:rsidR="00432C5A" w:rsidRPr="003D3D76" w:rsidRDefault="00432C5A" w:rsidP="003D3D76">
            <w:pPr>
              <w:cnfStyle w:val="000000100000"/>
            </w:pPr>
            <w:r w:rsidRPr="003D3D76">
              <w:t>Les caractéristiques :</w:t>
            </w:r>
          </w:p>
          <w:p w:rsidR="00607623" w:rsidRPr="003D3D76" w:rsidRDefault="00432C5A" w:rsidP="003D3D76">
            <w:pPr>
              <w:pStyle w:val="ListParagraph"/>
              <w:numPr>
                <w:ilvl w:val="0"/>
                <w:numId w:val="4"/>
              </w:numPr>
              <w:ind w:left="317"/>
              <w:cnfStyle w:val="000000100000"/>
            </w:pPr>
            <w:r w:rsidRPr="003D3D76">
              <w:t>Echelle d’attitude : établir une chaine d’affirmation ou le sujet donne sa réponse puis construire l’échelle par plafonnement</w:t>
            </w:r>
          </w:p>
          <w:p w:rsidR="00607623" w:rsidRPr="003D3D76" w:rsidRDefault="00607623" w:rsidP="003D3D76">
            <w:pPr>
              <w:pStyle w:val="ListParagraph"/>
              <w:numPr>
                <w:ilvl w:val="0"/>
                <w:numId w:val="4"/>
              </w:numPr>
              <w:ind w:left="317"/>
              <w:cnfStyle w:val="000000100000"/>
            </w:pPr>
            <w:r w:rsidRPr="003D3D76">
              <w:t>Faire des entretiens cliniques = poser des questions manifestes pour dissimuler le but réel de l’interview et qui cherche à mesurer un contenu latent</w:t>
            </w:r>
          </w:p>
          <w:p w:rsidR="00432C5A" w:rsidRPr="003D3D76" w:rsidRDefault="00607623" w:rsidP="003D3D76">
            <w:pPr>
              <w:pStyle w:val="ListParagraph"/>
              <w:numPr>
                <w:ilvl w:val="0"/>
                <w:numId w:val="4"/>
              </w:numPr>
              <w:ind w:left="317"/>
              <w:cnfStyle w:val="000000100000"/>
            </w:pPr>
            <w:r w:rsidRPr="003D3D76">
              <w:t>TAT, test inventé en 1938 par Murray un psychologue = c’est un test projectif où l’on montre une image et où le sujet raconte une histoire</w:t>
            </w:r>
          </w:p>
        </w:tc>
      </w:tr>
    </w:tbl>
    <w:p w:rsidR="008E79B4" w:rsidRPr="003D3D76" w:rsidRDefault="008E79B4"/>
    <w:sectPr w:rsidR="008E79B4" w:rsidRPr="003D3D76" w:rsidSect="002B75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672788C"/>
    <w:multiLevelType w:val="hybridMultilevel"/>
    <w:tmpl w:val="6E565754"/>
    <w:lvl w:ilvl="0" w:tplc="27D2EF22">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33E7348"/>
    <w:multiLevelType w:val="hybridMultilevel"/>
    <w:tmpl w:val="C2B07C0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58BD0C9D"/>
    <w:multiLevelType w:val="hybridMultilevel"/>
    <w:tmpl w:val="0B36669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6EB553E4"/>
    <w:multiLevelType w:val="hybridMultilevel"/>
    <w:tmpl w:val="3AC0541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rsids>
    <w:rsidRoot w:val="008E79B4"/>
    <w:rsid w:val="0011291D"/>
    <w:rsid w:val="002B7508"/>
    <w:rsid w:val="002D08E9"/>
    <w:rsid w:val="003D3D76"/>
    <w:rsid w:val="00432C5A"/>
    <w:rsid w:val="004B1FCF"/>
    <w:rsid w:val="004F4885"/>
    <w:rsid w:val="005628A7"/>
    <w:rsid w:val="00607623"/>
    <w:rsid w:val="00651C45"/>
    <w:rsid w:val="007048E8"/>
    <w:rsid w:val="008E79B4"/>
    <w:rsid w:val="009F7F30"/>
    <w:rsid w:val="00A13BFC"/>
    <w:rsid w:val="00AA36D8"/>
    <w:rsid w:val="00C12BF3"/>
    <w:rsid w:val="00CC6A3E"/>
    <w:rsid w:val="00CF400F"/>
    <w:rsid w:val="00E66790"/>
    <w:rsid w:val="00F51D2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6D8"/>
  </w:style>
  <w:style w:type="paragraph" w:styleId="Heading1">
    <w:name w:val="heading 1"/>
    <w:basedOn w:val="Normal"/>
    <w:link w:val="Heading1Char"/>
    <w:uiPriority w:val="9"/>
    <w:qFormat/>
    <w:rsid w:val="00AA36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AA36D8"/>
    <w:rPr>
      <w:rFonts w:ascii="Times New Roman" w:eastAsia="Times New Roman" w:hAnsi="Times New Roman" w:cs="Times New Roman"/>
      <w:b/>
      <w:bCs/>
      <w:kern w:val="36"/>
      <w:sz w:val="48"/>
      <w:szCs w:val="48"/>
      <w:lang w:eastAsia="fr-FR"/>
    </w:rPr>
  </w:style>
  <w:style w:type="character" w:styleId="Strong">
    <w:name w:val="Strong"/>
    <w:basedOn w:val="DefaultParagraphFont"/>
    <w:uiPriority w:val="22"/>
    <w:qFormat/>
    <w:rsid w:val="00AA36D8"/>
    <w:rPr>
      <w:b/>
      <w:bCs/>
    </w:rPr>
  </w:style>
  <w:style w:type="paragraph" w:styleId="ListParagraph">
    <w:name w:val="List Paragraph"/>
    <w:basedOn w:val="Normal"/>
    <w:uiPriority w:val="34"/>
    <w:qFormat/>
    <w:rsid w:val="00AA36D8"/>
    <w:pPr>
      <w:ind w:left="720"/>
      <w:contextualSpacing/>
    </w:pPr>
  </w:style>
  <w:style w:type="character" w:styleId="IntenseReference">
    <w:name w:val="Intense Reference"/>
    <w:basedOn w:val="DefaultParagraphFont"/>
    <w:uiPriority w:val="32"/>
    <w:qFormat/>
    <w:rsid w:val="00AA36D8"/>
    <w:rPr>
      <w:b/>
      <w:bCs/>
      <w:smallCaps/>
      <w:color w:val="C0504D" w:themeColor="accent2"/>
      <w:spacing w:val="5"/>
      <w:u w:val="single"/>
    </w:rPr>
  </w:style>
  <w:style w:type="table" w:styleId="TableGrid">
    <w:name w:val="Table Grid"/>
    <w:basedOn w:val="TableNormal"/>
    <w:uiPriority w:val="59"/>
    <w:rsid w:val="008E79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2">
    <w:name w:val="Light List Accent 2"/>
    <w:basedOn w:val="TableNormal"/>
    <w:uiPriority w:val="61"/>
    <w:rsid w:val="008E79B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
    <w:name w:val="Light List"/>
    <w:basedOn w:val="TableNormal"/>
    <w:uiPriority w:val="61"/>
    <w:rsid w:val="008E79B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2018</Characters>
  <Application>Microsoft Word 12.0.0</Application>
  <DocSecurity>0</DocSecurity>
  <Lines>93</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2371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dc:description/>
  <cp:lastModifiedBy>GEA Nantes</cp:lastModifiedBy>
  <cp:revision>2</cp:revision>
  <dcterms:created xsi:type="dcterms:W3CDTF">2012-03-22T16:59:00Z</dcterms:created>
  <dcterms:modified xsi:type="dcterms:W3CDTF">2012-03-22T16:59:00Z</dcterms:modified>
  <cp:category/>
</cp:coreProperties>
</file>