
<file path=[Content_Types].xml><?xml version="1.0" encoding="utf-8"?>
<Types xmlns="http://schemas.openxmlformats.org/package/2006/content-types">
  <Override PartName="/word/webSettings.xml" ContentType="application/vnd.openxmlformats-officedocument.wordprocessingml.webSettings+xml"/>
  <Override PartName="/word/charts/chart6.xml" ContentType="application/vnd.openxmlformats-officedocument.drawingml.chart+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charts/chart8.xml" ContentType="application/vnd.openxmlformats-officedocument.drawingml.chart+xml"/>
  <Override PartName="/word/endnotes.xml" ContentType="application/vnd.openxmlformats-officedocument.wordprocessingml.endnotes+xml"/>
  <Override PartName="/word/charts/chart1.xml" ContentType="application/vnd.openxmlformats-officedocument.drawingml.chart+xml"/>
  <Override PartName="/word/numbering.xml" ContentType="application/vnd.openxmlformats-officedocument.wordprocessingml.numbering+xml"/>
  <Override PartName="/word/charts/chart3.xml" ContentType="application/vnd.openxmlformats-officedocument.drawingml.chart+xml"/>
  <Default Extension="xml" ContentType="application/xml"/>
  <Override PartName="/word/document.xml" ContentType="application/vnd.openxmlformats-officedocument.wordprocessingml.document.main+xml"/>
  <Default Extension="wmf" ContentType="image/x-wmf"/>
  <Override PartName="/word/footer1.xml" ContentType="application/vnd.openxmlformats-officedocument.wordprocessingml.footer+xml"/>
  <Override PartName="/customXml/itemProps1.xml" ContentType="application/vnd.openxmlformats-officedocument.customXmlProperties+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Override PartName="/word/charts/chart7.xml" ContentType="application/vnd.openxmlformats-officedocument.drawingml.chart+xml"/>
  <Override PartName="/word/charts/chart9.xml" ContentType="application/vnd.openxmlformats-officedocument.drawingml.chart+xml"/>
  <Override PartName="/word/settings.xml" ContentType="application/vnd.openxmlformats-officedocument.wordprocessingml.settings+xml"/>
  <Override PartName="/word/charts/chart2.xml" ContentType="application/vnd.openxmlformats-officedocument.drawingml.chart+xml"/>
  <Default Extension="jpeg" ContentType="image/jpeg"/>
  <Default Extension="rels" ContentType="application/vnd.openxmlformats-package.relationships+xml"/>
  <Default Extension="bin" ContentType="application/vnd.openxmlformats-officedocument.oleObject"/>
  <Override PartName="/word/styles.xml" ContentType="application/vnd.openxmlformats-officedocument.wordprocessingml.styles+xml"/>
  <Override PartName="/word/charts/chart4.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93AB1" w:rsidRPr="008A74EA" w:rsidRDefault="00DB622C" w:rsidP="008A74EA">
      <w:pPr>
        <w:pStyle w:val="BodyTextIndent3"/>
        <w:rPr>
          <w:rFonts w:asciiTheme="majorHAnsi" w:hAnsiTheme="majorHAnsi"/>
        </w:rPr>
      </w:pPr>
      <w:r w:rsidRPr="00DB622C">
        <w:rPr>
          <w:rFonts w:asciiTheme="majorHAnsi" w:hAnsiTheme="maj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9pt;margin-top:-3.45pt;width:108pt;height:79.2pt;z-index:251658240" o:allowincell="f">
            <v:imagedata r:id="rId8" o:title=""/>
            <w10:wrap type="topAndBottom"/>
          </v:shape>
          <o:OLEObject Type="Embed" ProgID="MS_ClipArt_Gallery.2" ShapeID="_x0000_s1026" DrawAspect="Content" ObjectID="_1266766308" r:id="rId9"/>
        </w:pict>
      </w:r>
      <w:r w:rsidR="00F93AB1" w:rsidRPr="00F93AB1">
        <w:rPr>
          <w:rFonts w:asciiTheme="majorHAnsi" w:hAnsiTheme="majorHAnsi"/>
        </w:rPr>
        <w:t>T.D. 2</w:t>
      </w:r>
    </w:p>
    <w:p w:rsidR="00F93AB1" w:rsidRPr="00F93AB1" w:rsidRDefault="00F93AB1" w:rsidP="00F93AB1">
      <w:pPr>
        <w:ind w:firstLine="709"/>
        <w:jc w:val="right"/>
        <w:rPr>
          <w:rFonts w:asciiTheme="majorHAnsi" w:hAnsiTheme="majorHAnsi"/>
          <w:b/>
          <w:sz w:val="24"/>
          <w:szCs w:val="24"/>
        </w:rPr>
      </w:pPr>
      <w:r w:rsidRPr="00F93AB1">
        <w:rPr>
          <w:rFonts w:asciiTheme="majorHAnsi" w:hAnsiTheme="majorHAnsi"/>
          <w:b/>
          <w:sz w:val="24"/>
          <w:szCs w:val="24"/>
        </w:rPr>
        <w:t>L’activité économique de la France à travers les</w:t>
      </w:r>
    </w:p>
    <w:p w:rsidR="00F93AB1" w:rsidRPr="00F93AB1" w:rsidRDefault="00F93AB1" w:rsidP="00F93AB1">
      <w:pPr>
        <w:pBdr>
          <w:bottom w:val="single" w:sz="12" w:space="1" w:color="auto"/>
        </w:pBdr>
        <w:ind w:firstLine="709"/>
        <w:jc w:val="right"/>
        <w:rPr>
          <w:rFonts w:asciiTheme="majorHAnsi" w:hAnsiTheme="majorHAnsi"/>
          <w:b/>
          <w:sz w:val="32"/>
        </w:rPr>
      </w:pPr>
      <w:r w:rsidRPr="00F93AB1">
        <w:rPr>
          <w:rFonts w:asciiTheme="majorHAnsi" w:hAnsiTheme="majorHAnsi"/>
          <w:b/>
          <w:sz w:val="32"/>
        </w:rPr>
        <w:t>Comptes des secteurs institutionnels.</w:t>
      </w:r>
    </w:p>
    <w:p w:rsidR="00F93AB1" w:rsidRPr="00BC38B2" w:rsidRDefault="00F93AB1" w:rsidP="00F93AB1">
      <w:pPr>
        <w:jc w:val="both"/>
        <w:rPr>
          <w:rFonts w:ascii="Bell MT" w:hAnsi="Bell MT"/>
        </w:rPr>
      </w:pPr>
    </w:p>
    <w:p w:rsidR="00BD79A0" w:rsidRDefault="00BD79A0" w:rsidP="00F93AB1">
      <w:pPr>
        <w:ind w:firstLine="709"/>
        <w:rPr>
          <w:rFonts w:asciiTheme="majorHAnsi" w:hAnsiTheme="majorHAnsi"/>
          <w:b/>
          <w:sz w:val="28"/>
        </w:rPr>
      </w:pPr>
    </w:p>
    <w:p w:rsidR="00F93AB1" w:rsidRPr="00F93AB1" w:rsidRDefault="00F93AB1" w:rsidP="00F93AB1">
      <w:pPr>
        <w:ind w:firstLine="709"/>
        <w:rPr>
          <w:rFonts w:asciiTheme="majorHAnsi" w:hAnsiTheme="majorHAnsi"/>
          <w:b/>
          <w:sz w:val="28"/>
        </w:rPr>
      </w:pPr>
      <w:r w:rsidRPr="00F93AB1">
        <w:rPr>
          <w:rFonts w:asciiTheme="majorHAnsi" w:hAnsiTheme="majorHAnsi"/>
          <w:b/>
          <w:sz w:val="28"/>
        </w:rPr>
        <w:t>Les comptes des sociétés non-financières.</w:t>
      </w:r>
    </w:p>
    <w:p w:rsidR="00F93AB1" w:rsidRPr="00BC38B2" w:rsidRDefault="00F93AB1" w:rsidP="00F93AB1">
      <w:pPr>
        <w:ind w:firstLine="709"/>
        <w:jc w:val="both"/>
        <w:rPr>
          <w:rFonts w:ascii="Bell MT" w:hAnsi="Bell MT"/>
          <w:b/>
        </w:rPr>
      </w:pPr>
    </w:p>
    <w:p w:rsidR="00F93AB1" w:rsidRPr="008A74EA" w:rsidRDefault="00F93AB1" w:rsidP="00F93AB1">
      <w:pPr>
        <w:pStyle w:val="Heading1"/>
        <w:ind w:firstLine="567"/>
        <w:jc w:val="both"/>
        <w:rPr>
          <w:rFonts w:asciiTheme="majorHAnsi" w:hAnsiTheme="majorHAnsi"/>
          <w:sz w:val="20"/>
        </w:rPr>
      </w:pPr>
      <w:r w:rsidRPr="008A74EA">
        <w:rPr>
          <w:rFonts w:asciiTheme="majorHAnsi" w:hAnsiTheme="majorHAnsi"/>
          <w:sz w:val="20"/>
        </w:rPr>
        <w:t xml:space="preserve">Voici, dans le désordre, les différentes rubriques concernant les comptes des sociétés non-financières en 2010 (les chiffres de 2009 sont fournis à titre de comparaison). Vous déterminerez la nature de chaque somme (vous l’inscrirez en Emploi ou en Ressource) et le compte dans lequel elle doit être enregistrée </w:t>
      </w:r>
      <w:r w:rsidR="008A74EA">
        <w:rPr>
          <w:rFonts w:asciiTheme="majorHAnsi" w:hAnsiTheme="majorHAnsi"/>
          <w:sz w:val="20"/>
        </w:rPr>
        <w:t xml:space="preserve">(voir </w:t>
      </w:r>
      <w:r w:rsidRPr="008A74EA">
        <w:rPr>
          <w:rFonts w:asciiTheme="majorHAnsi" w:hAnsiTheme="majorHAnsi"/>
          <w:sz w:val="20"/>
        </w:rPr>
        <w:t xml:space="preserve">page </w:t>
      </w:r>
      <w:r w:rsidR="008A74EA">
        <w:rPr>
          <w:rFonts w:asciiTheme="majorHAnsi" w:hAnsiTheme="majorHAnsi"/>
          <w:sz w:val="20"/>
        </w:rPr>
        <w:t xml:space="preserve">suivante </w:t>
      </w:r>
      <w:r w:rsidRPr="008A74EA">
        <w:rPr>
          <w:rFonts w:asciiTheme="majorHAnsi" w:hAnsiTheme="majorHAnsi"/>
          <w:sz w:val="20"/>
        </w:rPr>
        <w:t>pour la numérotation des comptes) :</w:t>
      </w:r>
    </w:p>
    <w:p w:rsidR="008A74EA" w:rsidRDefault="008A74EA" w:rsidP="008A74EA"/>
    <w:tbl>
      <w:tblPr>
        <w:tblW w:w="9640" w:type="dxa"/>
        <w:tblInd w:w="65" w:type="dxa"/>
        <w:tblCellMar>
          <w:left w:w="70" w:type="dxa"/>
          <w:right w:w="70" w:type="dxa"/>
        </w:tblCellMar>
        <w:tblLook w:val="04A0"/>
      </w:tblPr>
      <w:tblGrid>
        <w:gridCol w:w="3660"/>
        <w:gridCol w:w="1200"/>
        <w:gridCol w:w="1200"/>
        <w:gridCol w:w="1180"/>
        <w:gridCol w:w="1200"/>
        <w:gridCol w:w="1200"/>
      </w:tblGrid>
      <w:tr w:rsidR="008A74EA" w:rsidRPr="008A74EA">
        <w:trPr>
          <w:trHeight w:val="300"/>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tcPr>
          <w:p w:rsidR="008A74EA" w:rsidRPr="008A74EA" w:rsidRDefault="008A74EA" w:rsidP="008A74EA">
            <w:pPr>
              <w:jc w:val="center"/>
              <w:rPr>
                <w:rFonts w:asciiTheme="majorHAnsi" w:hAnsiTheme="majorHAnsi" w:cs="Arial"/>
                <w:b/>
                <w:bCs/>
              </w:rPr>
            </w:pPr>
            <w:r w:rsidRPr="008A74EA">
              <w:rPr>
                <w:rFonts w:asciiTheme="majorHAnsi" w:hAnsiTheme="majorHAnsi" w:cs="Arial"/>
                <w:b/>
                <w:bCs/>
              </w:rPr>
              <w:t>Sociétés non financières</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8A74EA" w:rsidRPr="008A74EA" w:rsidRDefault="008A74EA" w:rsidP="008A74EA">
            <w:pPr>
              <w:jc w:val="center"/>
              <w:rPr>
                <w:rFonts w:asciiTheme="majorHAnsi" w:hAnsiTheme="majorHAnsi" w:cs="Arial"/>
                <w:b/>
                <w:bCs/>
              </w:rPr>
            </w:pPr>
            <w:r w:rsidRPr="008A74EA">
              <w:rPr>
                <w:rFonts w:asciiTheme="majorHAnsi" w:hAnsiTheme="majorHAnsi" w:cs="Arial"/>
                <w:b/>
                <w:bCs/>
              </w:rPr>
              <w:t>An. 2009</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8A74EA" w:rsidRPr="008A74EA" w:rsidRDefault="008A74EA" w:rsidP="008A74EA">
            <w:pPr>
              <w:jc w:val="center"/>
              <w:rPr>
                <w:rFonts w:asciiTheme="majorHAnsi" w:hAnsiTheme="majorHAnsi" w:cs="Arial"/>
                <w:b/>
                <w:bCs/>
              </w:rPr>
            </w:pPr>
            <w:r w:rsidRPr="008A74EA">
              <w:rPr>
                <w:rFonts w:asciiTheme="majorHAnsi" w:hAnsiTheme="majorHAnsi" w:cs="Arial"/>
                <w:b/>
                <w:bCs/>
              </w:rPr>
              <w:t>An. 2010</w:t>
            </w:r>
          </w:p>
        </w:tc>
        <w:tc>
          <w:tcPr>
            <w:tcW w:w="1180" w:type="dxa"/>
            <w:tcBorders>
              <w:top w:val="single" w:sz="4" w:space="0" w:color="auto"/>
              <w:left w:val="nil"/>
              <w:bottom w:val="single" w:sz="4" w:space="0" w:color="auto"/>
              <w:right w:val="single" w:sz="4" w:space="0" w:color="auto"/>
            </w:tcBorders>
            <w:shd w:val="clear" w:color="auto" w:fill="auto"/>
            <w:vAlign w:val="center"/>
          </w:tcPr>
          <w:p w:rsidR="008A74EA" w:rsidRPr="008A74EA" w:rsidRDefault="008A74EA" w:rsidP="008A74EA">
            <w:pPr>
              <w:jc w:val="center"/>
              <w:rPr>
                <w:rFonts w:asciiTheme="majorHAnsi" w:hAnsiTheme="majorHAnsi"/>
                <w:b/>
                <w:bCs/>
                <w:color w:val="000000"/>
              </w:rPr>
            </w:pPr>
            <w:r w:rsidRPr="008A74EA">
              <w:rPr>
                <w:rFonts w:asciiTheme="majorHAnsi" w:hAnsiTheme="majorHAnsi"/>
                <w:b/>
                <w:bCs/>
                <w:color w:val="000000"/>
              </w:rPr>
              <w:t>Emplois</w:t>
            </w:r>
          </w:p>
        </w:tc>
        <w:tc>
          <w:tcPr>
            <w:tcW w:w="1200" w:type="dxa"/>
            <w:tcBorders>
              <w:top w:val="single" w:sz="4" w:space="0" w:color="auto"/>
              <w:left w:val="nil"/>
              <w:bottom w:val="single" w:sz="4" w:space="0" w:color="auto"/>
              <w:right w:val="single" w:sz="4" w:space="0" w:color="auto"/>
            </w:tcBorders>
            <w:shd w:val="clear" w:color="auto" w:fill="auto"/>
            <w:vAlign w:val="center"/>
          </w:tcPr>
          <w:p w:rsidR="008A74EA" w:rsidRPr="008A74EA" w:rsidRDefault="008A74EA" w:rsidP="008A74EA">
            <w:pPr>
              <w:jc w:val="center"/>
              <w:rPr>
                <w:rFonts w:asciiTheme="majorHAnsi" w:hAnsiTheme="majorHAnsi"/>
                <w:b/>
                <w:bCs/>
                <w:color w:val="000000"/>
              </w:rPr>
            </w:pPr>
            <w:r w:rsidRPr="008A74EA">
              <w:rPr>
                <w:rFonts w:asciiTheme="majorHAnsi" w:hAnsiTheme="majorHAnsi"/>
                <w:b/>
                <w:bCs/>
                <w:color w:val="000000"/>
              </w:rPr>
              <w:t>Ressources</w:t>
            </w:r>
          </w:p>
        </w:tc>
        <w:tc>
          <w:tcPr>
            <w:tcW w:w="1200" w:type="dxa"/>
            <w:tcBorders>
              <w:top w:val="single" w:sz="4" w:space="0" w:color="auto"/>
              <w:left w:val="nil"/>
              <w:bottom w:val="single" w:sz="4" w:space="0" w:color="auto"/>
              <w:right w:val="single" w:sz="4" w:space="0" w:color="auto"/>
            </w:tcBorders>
            <w:shd w:val="clear" w:color="auto" w:fill="auto"/>
            <w:vAlign w:val="center"/>
          </w:tcPr>
          <w:p w:rsidR="008A74EA" w:rsidRPr="008A74EA" w:rsidRDefault="008A74EA" w:rsidP="008A74EA">
            <w:pPr>
              <w:jc w:val="center"/>
              <w:rPr>
                <w:rFonts w:asciiTheme="majorHAnsi" w:hAnsiTheme="majorHAnsi"/>
                <w:b/>
                <w:bCs/>
                <w:color w:val="000000"/>
              </w:rPr>
            </w:pPr>
            <w:r w:rsidRPr="008A74EA">
              <w:rPr>
                <w:rFonts w:asciiTheme="majorHAnsi" w:hAnsiTheme="majorHAnsi"/>
                <w:b/>
                <w:bCs/>
                <w:color w:val="000000"/>
              </w:rPr>
              <w:t>C</w:t>
            </w:r>
            <w:r w:rsidR="00A37D1C">
              <w:rPr>
                <w:rFonts w:asciiTheme="majorHAnsi" w:hAnsiTheme="majorHAnsi"/>
                <w:b/>
                <w:bCs/>
                <w:color w:val="000000"/>
              </w:rPr>
              <w:t>om</w:t>
            </w:r>
            <w:r w:rsidRPr="008A74EA">
              <w:rPr>
                <w:rFonts w:asciiTheme="majorHAnsi" w:hAnsiTheme="majorHAnsi"/>
                <w:b/>
                <w:bCs/>
                <w:color w:val="000000"/>
              </w:rPr>
              <w:t>pte</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Acquisitions nettes d'actifs non produits</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-1,6</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0,8</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cs="Arial"/>
                <w:b/>
              </w:rPr>
            </w:pPr>
            <w:r w:rsidRPr="008A74EA">
              <w:rPr>
                <w:rFonts w:asciiTheme="majorHAnsi" w:hAnsiTheme="majorHAnsi" w:cs="Arial"/>
                <w:b/>
              </w:rPr>
              <w:t>0,8</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b/>
                <w:color w:val="000000"/>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6</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Autres revenus de la propriété perçus</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3,1</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olor w:val="000000"/>
              </w:rPr>
            </w:pPr>
            <w:r w:rsidRPr="008A74EA">
              <w:rPr>
                <w:rFonts w:asciiTheme="majorHAnsi" w:hAnsiTheme="majorHAnsi"/>
                <w:color w:val="000000"/>
              </w:rPr>
              <w:t>14,6</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b/>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b/>
                <w:color w:val="000000"/>
              </w:rPr>
            </w:pPr>
            <w:r w:rsidRPr="008A74EA">
              <w:rPr>
                <w:rFonts w:asciiTheme="majorHAnsi" w:hAnsiTheme="majorHAnsi"/>
                <w:b/>
                <w:color w:val="000000"/>
              </w:rPr>
              <w:t>14,6</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3</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Autres revenus de la propriété versés</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2,7</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bCs/>
              </w:rPr>
            </w:pPr>
            <w:r w:rsidRPr="008A74EA">
              <w:rPr>
                <w:rFonts w:asciiTheme="majorHAnsi" w:hAnsiTheme="majorHAnsi" w:cs="Arial"/>
                <w:bCs/>
              </w:rPr>
              <w:t>9,0</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cs="Arial"/>
                <w:b/>
              </w:rPr>
            </w:pPr>
            <w:r w:rsidRPr="008A74EA">
              <w:rPr>
                <w:rFonts w:asciiTheme="majorHAnsi" w:hAnsiTheme="majorHAnsi" w:cs="Arial"/>
                <w:b/>
                <w:bCs/>
              </w:rPr>
              <w:t>9,0</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b/>
                <w:color w:val="000000"/>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3</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Consommation intermédiaire</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1 358,5</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1 435,1</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cs="Arial"/>
                <w:b/>
              </w:rPr>
            </w:pPr>
            <w:r w:rsidRPr="008A74EA">
              <w:rPr>
                <w:rFonts w:asciiTheme="majorHAnsi" w:hAnsiTheme="majorHAnsi" w:cs="Arial"/>
                <w:b/>
              </w:rPr>
              <w:t>1 435,1</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b/>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1</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BD79A0">
            <w:pPr>
              <w:rPr>
                <w:rFonts w:asciiTheme="majorHAnsi" w:hAnsiTheme="majorHAnsi" w:cs="Arial"/>
                <w:sz w:val="16"/>
                <w:szCs w:val="16"/>
              </w:rPr>
            </w:pPr>
            <w:r w:rsidRPr="008A74EA">
              <w:rPr>
                <w:rFonts w:asciiTheme="majorHAnsi" w:hAnsiTheme="majorHAnsi" w:cs="Arial"/>
                <w:sz w:val="16"/>
                <w:szCs w:val="16"/>
              </w:rPr>
              <w:t>Cotisations sociales employeurs</w:t>
            </w:r>
            <w:r w:rsidR="00BD79A0">
              <w:rPr>
                <w:rFonts w:asciiTheme="majorHAnsi" w:hAnsiTheme="majorHAnsi" w:cs="Arial"/>
                <w:sz w:val="16"/>
                <w:szCs w:val="16"/>
              </w:rPr>
              <w:t xml:space="preserve"> versées</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153,1</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156,4</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cs="Arial"/>
                <w:b/>
              </w:rPr>
            </w:pPr>
            <w:r w:rsidRPr="008A74EA">
              <w:rPr>
                <w:rFonts w:asciiTheme="majorHAnsi" w:hAnsiTheme="majorHAnsi" w:cs="Arial"/>
                <w:b/>
              </w:rPr>
              <w:t>156,4</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b/>
                <w:color w:val="000000"/>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2</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Cotisations sociales perçues</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11,0</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olor w:val="000000"/>
              </w:rPr>
            </w:pPr>
            <w:r w:rsidRPr="008A74EA">
              <w:rPr>
                <w:rFonts w:asciiTheme="majorHAnsi" w:hAnsiTheme="majorHAnsi"/>
                <w:color w:val="000000"/>
              </w:rPr>
              <w:t>11,6</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b/>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b/>
                <w:color w:val="000000"/>
              </w:rPr>
            </w:pPr>
            <w:r w:rsidRPr="008A74EA">
              <w:rPr>
                <w:rFonts w:asciiTheme="majorHAnsi" w:hAnsiTheme="majorHAnsi"/>
                <w:b/>
                <w:color w:val="000000"/>
              </w:rPr>
              <w:t>11,6</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4</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Formation brute de capital fixe</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176,4</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181,8</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cs="Arial"/>
                <w:b/>
              </w:rPr>
            </w:pPr>
            <w:r w:rsidRPr="008A74EA">
              <w:rPr>
                <w:rFonts w:asciiTheme="majorHAnsi" w:hAnsiTheme="majorHAnsi" w:cs="Arial"/>
                <w:b/>
              </w:rPr>
              <w:t>181,8</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b/>
                <w:color w:val="000000"/>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6</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Impôts courants sur le revenu et le patrimoine</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17,5</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26,4</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cs="Arial"/>
                <w:b/>
              </w:rPr>
            </w:pPr>
            <w:r w:rsidRPr="008A74EA">
              <w:rPr>
                <w:rFonts w:asciiTheme="majorHAnsi" w:hAnsiTheme="majorHAnsi" w:cs="Arial"/>
                <w:b/>
              </w:rPr>
              <w:t>26,4</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b/>
                <w:color w:val="000000"/>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4</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Impôts sur la production et les importations</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56,0</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49,0</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cs="Arial"/>
                <w:b/>
              </w:rPr>
            </w:pPr>
            <w:r w:rsidRPr="008A74EA">
              <w:rPr>
                <w:rFonts w:asciiTheme="majorHAnsi" w:hAnsiTheme="majorHAnsi" w:cs="Arial"/>
                <w:b/>
              </w:rPr>
              <w:t>49,0</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b/>
                <w:color w:val="000000"/>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cs="Arial"/>
                <w:b/>
                <w:bCs/>
              </w:rPr>
            </w:pPr>
            <w:r w:rsidRPr="00A37D1C">
              <w:rPr>
                <w:rFonts w:asciiTheme="majorHAnsi" w:hAnsiTheme="majorHAnsi" w:cs="Arial"/>
                <w:b/>
                <w:bCs/>
              </w:rPr>
              <w:t>2</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Indemnités d'assurance dommage</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4,8</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olor w:val="000000"/>
              </w:rPr>
            </w:pPr>
            <w:r w:rsidRPr="008A74EA">
              <w:rPr>
                <w:rFonts w:asciiTheme="majorHAnsi" w:hAnsiTheme="majorHAnsi"/>
                <w:color w:val="000000"/>
              </w:rPr>
              <w:t>4,8</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b/>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b/>
                <w:color w:val="000000"/>
              </w:rPr>
            </w:pPr>
            <w:r w:rsidRPr="008A74EA">
              <w:rPr>
                <w:rFonts w:asciiTheme="majorHAnsi" w:hAnsiTheme="majorHAnsi"/>
                <w:b/>
                <w:color w:val="000000"/>
              </w:rPr>
              <w:t>4,8</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4</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Intérêts perçus</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64,1</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olor w:val="000000"/>
              </w:rPr>
            </w:pPr>
            <w:r w:rsidRPr="008A74EA">
              <w:rPr>
                <w:rFonts w:asciiTheme="majorHAnsi" w:hAnsiTheme="majorHAnsi"/>
                <w:color w:val="000000"/>
              </w:rPr>
              <w:t>53,7</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b/>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b/>
                <w:color w:val="000000"/>
              </w:rPr>
            </w:pPr>
            <w:r w:rsidRPr="008A74EA">
              <w:rPr>
                <w:rFonts w:asciiTheme="majorHAnsi" w:hAnsiTheme="majorHAnsi"/>
                <w:b/>
                <w:color w:val="000000"/>
              </w:rPr>
              <w:t>53,7</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cs="Arial"/>
                <w:b/>
                <w:bCs/>
              </w:rPr>
            </w:pPr>
            <w:r w:rsidRPr="00A37D1C">
              <w:rPr>
                <w:rFonts w:asciiTheme="majorHAnsi" w:hAnsiTheme="majorHAnsi" w:cs="Arial"/>
                <w:b/>
                <w:bCs/>
              </w:rPr>
              <w:t>3</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Intérêts versés</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89,0</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74,0</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cs="Arial"/>
                <w:b/>
              </w:rPr>
            </w:pPr>
            <w:r w:rsidRPr="008A74EA">
              <w:rPr>
                <w:rFonts w:asciiTheme="majorHAnsi" w:hAnsiTheme="majorHAnsi" w:cs="Arial"/>
                <w:b/>
              </w:rPr>
              <w:t>74,0</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b/>
                <w:color w:val="000000"/>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cs="Arial"/>
                <w:b/>
                <w:bCs/>
              </w:rPr>
            </w:pPr>
            <w:r w:rsidRPr="00A37D1C">
              <w:rPr>
                <w:rFonts w:asciiTheme="majorHAnsi" w:hAnsiTheme="majorHAnsi" w:cs="Arial"/>
                <w:b/>
                <w:bCs/>
              </w:rPr>
              <w:t>3</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color w:val="000000"/>
                <w:sz w:val="16"/>
                <w:szCs w:val="16"/>
              </w:rPr>
            </w:pPr>
            <w:r w:rsidRPr="008A74EA">
              <w:rPr>
                <w:rFonts w:asciiTheme="majorHAnsi" w:hAnsiTheme="majorHAnsi" w:cs="Arial"/>
                <w:color w:val="000000"/>
                <w:sz w:val="16"/>
                <w:szCs w:val="16"/>
              </w:rPr>
              <w:t>Prestations sociales en espèces versées</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10,7</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11,4</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cs="Arial"/>
                <w:b/>
              </w:rPr>
            </w:pPr>
            <w:r w:rsidRPr="008A74EA">
              <w:rPr>
                <w:rFonts w:asciiTheme="majorHAnsi" w:hAnsiTheme="majorHAnsi" w:cs="Arial"/>
                <w:b/>
              </w:rPr>
              <w:t>11,4</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b/>
                <w:color w:val="000000"/>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4</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Primes nettes d'assurance dommage</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8,9</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9,0</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cs="Arial"/>
                <w:b/>
              </w:rPr>
            </w:pPr>
            <w:r w:rsidRPr="008A74EA">
              <w:rPr>
                <w:rFonts w:asciiTheme="majorHAnsi" w:hAnsiTheme="majorHAnsi" w:cs="Arial"/>
                <w:b/>
              </w:rPr>
              <w:t>9,0</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b/>
                <w:color w:val="000000"/>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4</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Production</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2 311,9</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olor w:val="000000"/>
              </w:rPr>
            </w:pPr>
            <w:r w:rsidRPr="008A74EA">
              <w:rPr>
                <w:rFonts w:asciiTheme="majorHAnsi" w:hAnsiTheme="majorHAnsi"/>
                <w:color w:val="000000"/>
              </w:rPr>
              <w:t>2 408,1</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b/>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b/>
                <w:color w:val="000000"/>
              </w:rPr>
            </w:pPr>
            <w:r w:rsidRPr="008A74EA">
              <w:rPr>
                <w:rFonts w:asciiTheme="majorHAnsi" w:hAnsiTheme="majorHAnsi"/>
                <w:b/>
                <w:color w:val="000000"/>
              </w:rPr>
              <w:t>2 408,1</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1</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Revenus distribués des sociétés perçus</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162,9</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olor w:val="000000"/>
              </w:rPr>
            </w:pPr>
            <w:r w:rsidRPr="008A74EA">
              <w:rPr>
                <w:rFonts w:asciiTheme="majorHAnsi" w:hAnsiTheme="majorHAnsi"/>
                <w:color w:val="000000"/>
              </w:rPr>
              <w:t>150,0</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b/>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b/>
                <w:color w:val="000000"/>
              </w:rPr>
            </w:pPr>
            <w:r w:rsidRPr="008A74EA">
              <w:rPr>
                <w:rFonts w:asciiTheme="majorHAnsi" w:hAnsiTheme="majorHAnsi"/>
                <w:b/>
                <w:color w:val="000000"/>
              </w:rPr>
              <w:t>150,0</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3</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Revenus distribués des sociétés versés</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247,9</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234,8</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cs="Arial"/>
                <w:b/>
              </w:rPr>
            </w:pPr>
            <w:r w:rsidRPr="008A74EA">
              <w:rPr>
                <w:rFonts w:asciiTheme="majorHAnsi" w:hAnsiTheme="majorHAnsi" w:cs="Arial"/>
                <w:b/>
              </w:rPr>
              <w:t>234,8</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b/>
                <w:color w:val="000000"/>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3</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Salaires et traitements</w:t>
            </w:r>
            <w:r w:rsidR="00BD79A0">
              <w:rPr>
                <w:rFonts w:asciiTheme="majorHAnsi" w:hAnsiTheme="majorHAnsi" w:cs="Arial"/>
                <w:sz w:val="16"/>
                <w:szCs w:val="16"/>
              </w:rPr>
              <w:t xml:space="preserve"> versés</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483,2</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493,2</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cs="Arial"/>
                <w:b/>
                <w:color w:val="000000"/>
              </w:rPr>
            </w:pPr>
            <w:r w:rsidRPr="008A74EA">
              <w:rPr>
                <w:rFonts w:asciiTheme="majorHAnsi" w:hAnsiTheme="majorHAnsi" w:cs="Arial"/>
                <w:b/>
              </w:rPr>
              <w:t>493,2</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b/>
                <w:color w:val="000000"/>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2</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Subventions d'exploitation</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17,6</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19,2</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cs="Arial"/>
                <w:b/>
              </w:rPr>
            </w:pPr>
            <w:r w:rsidRPr="00A37D1C">
              <w:rPr>
                <w:rFonts w:asciiTheme="majorHAnsi" w:hAnsiTheme="majorHAnsi" w:cs="Arial"/>
                <w:b/>
              </w:rPr>
              <w:t>-</w:t>
            </w:r>
            <w:r w:rsidRPr="008A74EA">
              <w:rPr>
                <w:rFonts w:asciiTheme="majorHAnsi" w:hAnsiTheme="majorHAnsi" w:cs="Arial"/>
                <w:b/>
              </w:rPr>
              <w:t>19,2</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b/>
                <w:color w:val="000000"/>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2</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Transferts courants divers perçus</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7,1</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olor w:val="000000"/>
              </w:rPr>
            </w:pPr>
            <w:r w:rsidRPr="008A74EA">
              <w:rPr>
                <w:rFonts w:asciiTheme="majorHAnsi" w:hAnsiTheme="majorHAnsi"/>
                <w:color w:val="000000"/>
              </w:rPr>
              <w:t>6,5</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b/>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b/>
                <w:color w:val="000000"/>
              </w:rPr>
            </w:pPr>
            <w:r w:rsidRPr="008A74EA">
              <w:rPr>
                <w:rFonts w:asciiTheme="majorHAnsi" w:hAnsiTheme="majorHAnsi"/>
                <w:b/>
                <w:color w:val="000000"/>
              </w:rPr>
              <w:t>6,5</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4</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Transferts courants divers versés</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26,5</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27,2</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BD79A0" w:rsidP="008A74EA">
            <w:pPr>
              <w:jc w:val="right"/>
              <w:rPr>
                <w:rFonts w:asciiTheme="majorHAnsi" w:hAnsiTheme="majorHAnsi" w:cs="Arial"/>
                <w:b/>
              </w:rPr>
            </w:pPr>
            <w:r w:rsidRPr="008A74EA">
              <w:rPr>
                <w:rFonts w:asciiTheme="majorHAnsi" w:hAnsiTheme="majorHAnsi" w:cs="Arial"/>
                <w:b/>
              </w:rPr>
              <w:t>27,2</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b/>
                <w:color w:val="000000"/>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4</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Transferts en capital à payer</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2,1</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1,7</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b/>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FF0C18" w:rsidP="008A74EA">
            <w:pPr>
              <w:jc w:val="right"/>
              <w:rPr>
                <w:rFonts w:asciiTheme="majorHAnsi" w:hAnsiTheme="majorHAnsi"/>
                <w:b/>
                <w:color w:val="000000"/>
              </w:rPr>
            </w:pPr>
            <w:r w:rsidRPr="00A37D1C">
              <w:rPr>
                <w:rFonts w:asciiTheme="majorHAnsi" w:hAnsiTheme="majorHAnsi"/>
                <w:b/>
                <w:color w:val="000000"/>
              </w:rPr>
              <w:t>-</w:t>
            </w:r>
            <w:r w:rsidRPr="008A74EA">
              <w:rPr>
                <w:rFonts w:asciiTheme="majorHAnsi" w:hAnsiTheme="majorHAnsi" w:cs="Arial"/>
                <w:b/>
              </w:rPr>
              <w:t>1,7</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6</w:t>
            </w:r>
          </w:p>
        </w:tc>
      </w:tr>
      <w:tr w:rsidR="008A74EA" w:rsidRPr="008A74EA">
        <w:trPr>
          <w:trHeight w:val="300"/>
        </w:trPr>
        <w:tc>
          <w:tcPr>
            <w:tcW w:w="3660" w:type="dxa"/>
            <w:tcBorders>
              <w:top w:val="nil"/>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Transferts en capital à recevoir</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16,6</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15,9</w:t>
            </w:r>
          </w:p>
        </w:tc>
        <w:tc>
          <w:tcPr>
            <w:tcW w:w="1180" w:type="dxa"/>
            <w:tcBorders>
              <w:top w:val="nil"/>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b/>
              </w:rPr>
            </w:pP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FF0C18" w:rsidP="008A74EA">
            <w:pPr>
              <w:jc w:val="right"/>
              <w:rPr>
                <w:rFonts w:asciiTheme="majorHAnsi" w:hAnsiTheme="majorHAnsi"/>
                <w:b/>
                <w:color w:val="000000"/>
              </w:rPr>
            </w:pPr>
            <w:r w:rsidRPr="008A74EA">
              <w:rPr>
                <w:rFonts w:asciiTheme="majorHAnsi" w:hAnsiTheme="majorHAnsi" w:cs="Arial"/>
                <w:b/>
              </w:rPr>
              <w:t>15,9</w:t>
            </w:r>
          </w:p>
        </w:tc>
        <w:tc>
          <w:tcPr>
            <w:tcW w:w="1200" w:type="dxa"/>
            <w:tcBorders>
              <w:top w:val="nil"/>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b/>
                <w:color w:val="000000"/>
              </w:rPr>
            </w:pPr>
            <w:r w:rsidRPr="00A37D1C">
              <w:rPr>
                <w:rFonts w:asciiTheme="majorHAnsi" w:hAnsiTheme="majorHAnsi"/>
                <w:b/>
                <w:color w:val="000000"/>
              </w:rPr>
              <w:t>6</w:t>
            </w:r>
          </w:p>
        </w:tc>
      </w:tr>
      <w:tr w:rsidR="008A74EA" w:rsidRPr="008A74EA">
        <w:trPr>
          <w:trHeight w:val="300"/>
        </w:trPr>
        <w:tc>
          <w:tcPr>
            <w:tcW w:w="3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4EA" w:rsidRPr="008A74EA" w:rsidRDefault="008A74EA" w:rsidP="008A74EA">
            <w:pPr>
              <w:rPr>
                <w:rFonts w:asciiTheme="majorHAnsi" w:hAnsiTheme="majorHAnsi" w:cs="Arial"/>
                <w:sz w:val="16"/>
                <w:szCs w:val="16"/>
              </w:rPr>
            </w:pPr>
            <w:r w:rsidRPr="008A74EA">
              <w:rPr>
                <w:rFonts w:asciiTheme="majorHAnsi" w:hAnsiTheme="majorHAnsi" w:cs="Arial"/>
                <w:sz w:val="16"/>
                <w:szCs w:val="16"/>
              </w:rPr>
              <w:t>Variations des stocks</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-13,0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cs="Arial"/>
              </w:rPr>
            </w:pPr>
            <w:r w:rsidRPr="008A74EA">
              <w:rPr>
                <w:rFonts w:asciiTheme="majorHAnsi" w:hAnsiTheme="majorHAnsi" w:cs="Arial"/>
              </w:rPr>
              <w:t>0,1</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8A74EA" w:rsidRPr="008A74EA" w:rsidRDefault="00FF0C18" w:rsidP="008A74EA">
            <w:pPr>
              <w:jc w:val="right"/>
              <w:rPr>
                <w:rFonts w:asciiTheme="majorHAnsi" w:hAnsiTheme="majorHAnsi" w:cs="Arial"/>
                <w:b/>
              </w:rPr>
            </w:pPr>
            <w:r w:rsidRPr="008A74EA">
              <w:rPr>
                <w:rFonts w:asciiTheme="majorHAnsi" w:hAnsiTheme="majorHAnsi" w:cs="Arial"/>
                <w:b/>
              </w:rPr>
              <w:t>0,1</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8A74EA" w:rsidRPr="008A74EA" w:rsidRDefault="008A74EA" w:rsidP="008A74EA">
            <w:pPr>
              <w:jc w:val="right"/>
              <w:rPr>
                <w:rFonts w:asciiTheme="majorHAnsi" w:hAnsiTheme="majorHAnsi"/>
                <w:b/>
                <w:color w:val="000000"/>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8A74EA" w:rsidRPr="008A74EA" w:rsidRDefault="00A37D1C" w:rsidP="008A74EA">
            <w:pPr>
              <w:jc w:val="right"/>
              <w:rPr>
                <w:rFonts w:asciiTheme="majorHAnsi" w:hAnsiTheme="majorHAnsi" w:cs="Arial"/>
                <w:b/>
                <w:bCs/>
              </w:rPr>
            </w:pPr>
            <w:r w:rsidRPr="00A37D1C">
              <w:rPr>
                <w:rFonts w:asciiTheme="majorHAnsi" w:hAnsiTheme="majorHAnsi" w:cs="Arial"/>
                <w:b/>
                <w:bCs/>
              </w:rPr>
              <w:t>6</w:t>
            </w:r>
          </w:p>
        </w:tc>
      </w:tr>
    </w:tbl>
    <w:p w:rsidR="00557EF8" w:rsidRPr="00557EF8" w:rsidRDefault="00F93AB1" w:rsidP="0081049F">
      <w:pPr>
        <w:jc w:val="right"/>
        <w:rPr>
          <w:rFonts w:asciiTheme="majorHAnsi" w:hAnsiTheme="majorHAnsi" w:cs="Arial"/>
          <w:sz w:val="16"/>
          <w:szCs w:val="16"/>
        </w:rPr>
      </w:pPr>
      <w:r w:rsidRPr="00BC38B2">
        <w:rPr>
          <w:rFonts w:ascii="Bell MT" w:hAnsi="Bell MT"/>
          <w:sz w:val="16"/>
        </w:rPr>
        <w:t xml:space="preserve">Sommes en milliards d’euros – Source INSEE, </w:t>
      </w:r>
      <w:r w:rsidR="00557EF8" w:rsidRPr="00557EF8">
        <w:rPr>
          <w:rFonts w:asciiTheme="majorHAnsi" w:hAnsiTheme="majorHAnsi" w:cs="Arial"/>
          <w:sz w:val="16"/>
          <w:szCs w:val="16"/>
        </w:rPr>
        <w:t>Comptes nationaux</w:t>
      </w:r>
      <w:r w:rsidR="00557EF8" w:rsidRPr="00557EF8">
        <w:rPr>
          <w:rFonts w:asciiTheme="majorHAnsi" w:hAnsiTheme="majorHAnsi"/>
          <w:sz w:val="16"/>
        </w:rPr>
        <w:t xml:space="preserve"> </w:t>
      </w:r>
      <w:r w:rsidR="008A74EA" w:rsidRPr="00557EF8">
        <w:rPr>
          <w:rFonts w:asciiTheme="majorHAnsi" w:hAnsiTheme="majorHAnsi"/>
          <w:sz w:val="16"/>
        </w:rPr>
        <w:t>2009 et 2010</w:t>
      </w:r>
      <w:r w:rsidR="00557EF8" w:rsidRPr="00557EF8">
        <w:rPr>
          <w:rFonts w:asciiTheme="majorHAnsi" w:hAnsiTheme="majorHAnsi"/>
          <w:sz w:val="16"/>
        </w:rPr>
        <w:t xml:space="preserve"> </w:t>
      </w:r>
      <w:r w:rsidR="00557EF8" w:rsidRPr="00557EF8">
        <w:rPr>
          <w:rFonts w:asciiTheme="majorHAnsi" w:hAnsiTheme="majorHAnsi" w:cs="Arial"/>
          <w:sz w:val="16"/>
          <w:szCs w:val="16"/>
        </w:rPr>
        <w:t>- Base 2005.</w:t>
      </w:r>
    </w:p>
    <w:p w:rsidR="00F93AB1" w:rsidRPr="00BC38B2" w:rsidRDefault="00F93AB1" w:rsidP="008A74EA">
      <w:pPr>
        <w:rPr>
          <w:rFonts w:ascii="Bell MT" w:hAnsi="Bell MT"/>
          <w:sz w:val="16"/>
        </w:rPr>
      </w:pPr>
    </w:p>
    <w:p w:rsidR="00F93AB1" w:rsidRPr="00BC38B2" w:rsidRDefault="00F93AB1" w:rsidP="00F93AB1">
      <w:pPr>
        <w:pStyle w:val="BodyTextIndent"/>
        <w:ind w:firstLine="0"/>
        <w:rPr>
          <w:rFonts w:ascii="Bell MT" w:hAnsi="Bell MT"/>
          <w:b/>
        </w:rPr>
      </w:pPr>
    </w:p>
    <w:p w:rsidR="00F93AB1" w:rsidRPr="008A74EA" w:rsidRDefault="00F93AB1" w:rsidP="00F93AB1">
      <w:pPr>
        <w:ind w:left="709"/>
        <w:jc w:val="both"/>
        <w:rPr>
          <w:rFonts w:asciiTheme="majorHAnsi" w:hAnsiTheme="majorHAnsi"/>
          <w:b/>
        </w:rPr>
      </w:pPr>
      <w:r w:rsidRPr="008A74EA">
        <w:rPr>
          <w:rFonts w:asciiTheme="majorHAnsi" w:hAnsiTheme="majorHAnsi"/>
          <w:b/>
          <w:u w:val="single"/>
        </w:rPr>
        <w:t>Remarques sur les comptes des SNF</w:t>
      </w:r>
      <w:r w:rsidRPr="008A74EA">
        <w:rPr>
          <w:rFonts w:asciiTheme="majorHAnsi" w:hAnsiTheme="majorHAnsi"/>
          <w:b/>
        </w:rPr>
        <w:t> :</w:t>
      </w:r>
    </w:p>
    <w:p w:rsidR="00F93AB1" w:rsidRPr="008A74EA" w:rsidRDefault="00F93AB1" w:rsidP="00F93AB1">
      <w:pPr>
        <w:numPr>
          <w:ilvl w:val="0"/>
          <w:numId w:val="2"/>
        </w:numPr>
        <w:tabs>
          <w:tab w:val="clear" w:pos="360"/>
          <w:tab w:val="num" w:pos="1069"/>
        </w:tabs>
        <w:ind w:left="1069"/>
        <w:jc w:val="both"/>
        <w:rPr>
          <w:rFonts w:asciiTheme="majorHAnsi" w:hAnsiTheme="majorHAnsi"/>
        </w:rPr>
      </w:pPr>
      <w:r w:rsidRPr="008A74EA">
        <w:rPr>
          <w:rFonts w:asciiTheme="majorHAnsi" w:hAnsiTheme="majorHAnsi"/>
        </w:rPr>
        <w:t>Les subventions d’exploitation sont inscrites en emplois, affectées du signe -.</w:t>
      </w:r>
    </w:p>
    <w:p w:rsidR="00F93AB1" w:rsidRPr="008A74EA" w:rsidRDefault="00F93AB1" w:rsidP="00F93AB1">
      <w:pPr>
        <w:numPr>
          <w:ilvl w:val="0"/>
          <w:numId w:val="2"/>
        </w:numPr>
        <w:tabs>
          <w:tab w:val="clear" w:pos="360"/>
          <w:tab w:val="num" w:pos="1069"/>
        </w:tabs>
        <w:ind w:left="1069"/>
        <w:jc w:val="both"/>
        <w:rPr>
          <w:rFonts w:asciiTheme="majorHAnsi" w:hAnsiTheme="majorHAnsi"/>
        </w:rPr>
      </w:pPr>
      <w:r w:rsidRPr="008A74EA">
        <w:rPr>
          <w:rFonts w:asciiTheme="majorHAnsi" w:hAnsiTheme="majorHAnsi"/>
        </w:rPr>
        <w:t>Les transferts en capital à payer sont inscrits en ressources, affectés du signe -.</w:t>
      </w:r>
    </w:p>
    <w:p w:rsidR="00F93AB1" w:rsidRDefault="00F93AB1" w:rsidP="008A74EA">
      <w:pPr>
        <w:rPr>
          <w:b/>
          <w:sz w:val="28"/>
        </w:rPr>
      </w:pPr>
    </w:p>
    <w:p w:rsidR="00F93AB1" w:rsidRPr="008A74EA" w:rsidRDefault="00F93AB1" w:rsidP="00F93AB1">
      <w:pPr>
        <w:ind w:firstLine="709"/>
        <w:jc w:val="center"/>
        <w:rPr>
          <w:rFonts w:asciiTheme="majorHAnsi" w:hAnsiTheme="majorHAnsi"/>
          <w:b/>
          <w:sz w:val="28"/>
        </w:rPr>
      </w:pPr>
      <w:r w:rsidRPr="008A74EA">
        <w:rPr>
          <w:rFonts w:asciiTheme="majorHAnsi" w:hAnsiTheme="majorHAnsi"/>
          <w:b/>
          <w:sz w:val="28"/>
        </w:rPr>
        <w:t>Les comptes des sociétés non-financières.</w:t>
      </w:r>
    </w:p>
    <w:p w:rsidR="00F93AB1" w:rsidRPr="008A74EA" w:rsidRDefault="008A74EA" w:rsidP="00F93AB1">
      <w:pPr>
        <w:ind w:firstLine="709"/>
        <w:jc w:val="center"/>
        <w:rPr>
          <w:rFonts w:asciiTheme="majorHAnsi" w:hAnsiTheme="majorHAnsi"/>
          <w:b/>
          <w:sz w:val="28"/>
        </w:rPr>
      </w:pPr>
      <w:r w:rsidRPr="008A74EA">
        <w:rPr>
          <w:rFonts w:asciiTheme="majorHAnsi" w:hAnsiTheme="majorHAnsi"/>
          <w:b/>
          <w:sz w:val="28"/>
        </w:rPr>
        <w:t>2010</w:t>
      </w:r>
    </w:p>
    <w:p w:rsidR="00F93AB1" w:rsidRPr="008A74EA" w:rsidRDefault="00F93AB1" w:rsidP="00F93AB1">
      <w:pPr>
        <w:ind w:firstLine="709"/>
        <w:jc w:val="center"/>
        <w:rPr>
          <w:rFonts w:asciiTheme="majorHAnsi" w:hAnsiTheme="majorHAnsi"/>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56"/>
        <w:gridCol w:w="1098"/>
        <w:gridCol w:w="3721"/>
        <w:gridCol w:w="1134"/>
      </w:tblGrid>
      <w:tr w:rsidR="00F93AB1" w:rsidRPr="008A74EA">
        <w:tc>
          <w:tcPr>
            <w:tcW w:w="4854" w:type="dxa"/>
            <w:gridSpan w:val="2"/>
            <w:tcBorders>
              <w:top w:val="double" w:sz="4" w:space="0" w:color="auto"/>
              <w:left w:val="double" w:sz="4" w:space="0" w:color="auto"/>
              <w:bottom w:val="double" w:sz="4" w:space="0" w:color="auto"/>
            </w:tcBorders>
            <w:vAlign w:val="center"/>
          </w:tcPr>
          <w:p w:rsidR="00F93AB1" w:rsidRPr="008A74EA" w:rsidRDefault="00F93AB1" w:rsidP="00F93AB1">
            <w:pPr>
              <w:pStyle w:val="Heading2"/>
              <w:rPr>
                <w:rFonts w:asciiTheme="majorHAnsi" w:hAnsiTheme="majorHAnsi"/>
              </w:rPr>
            </w:pPr>
            <w:r w:rsidRPr="008A74EA">
              <w:rPr>
                <w:rFonts w:asciiTheme="majorHAnsi" w:hAnsiTheme="majorHAnsi"/>
              </w:rPr>
              <w:t>Emplois</w:t>
            </w:r>
          </w:p>
        </w:tc>
        <w:tc>
          <w:tcPr>
            <w:tcW w:w="4855" w:type="dxa"/>
            <w:gridSpan w:val="2"/>
            <w:tcBorders>
              <w:top w:val="double" w:sz="4" w:space="0" w:color="auto"/>
              <w:bottom w:val="double" w:sz="4" w:space="0" w:color="auto"/>
              <w:right w:val="double" w:sz="4" w:space="0" w:color="auto"/>
            </w:tcBorders>
            <w:vAlign w:val="center"/>
          </w:tcPr>
          <w:p w:rsidR="00F93AB1" w:rsidRPr="008A74EA" w:rsidRDefault="00F93AB1" w:rsidP="00F93AB1">
            <w:pPr>
              <w:pStyle w:val="Heading2"/>
              <w:rPr>
                <w:rFonts w:asciiTheme="majorHAnsi" w:hAnsiTheme="majorHAnsi"/>
              </w:rPr>
            </w:pPr>
            <w:r w:rsidRPr="008A74EA">
              <w:rPr>
                <w:rFonts w:asciiTheme="majorHAnsi" w:hAnsiTheme="majorHAnsi"/>
              </w:rPr>
              <w:t>Ressources</w:t>
            </w:r>
          </w:p>
        </w:tc>
      </w:tr>
      <w:tr w:rsidR="00F93AB1" w:rsidRPr="008A74EA">
        <w:trPr>
          <w:cantSplit/>
        </w:trPr>
        <w:tc>
          <w:tcPr>
            <w:tcW w:w="9709" w:type="dxa"/>
            <w:gridSpan w:val="4"/>
            <w:tcBorders>
              <w:top w:val="double" w:sz="4" w:space="0" w:color="auto"/>
              <w:left w:val="double" w:sz="4" w:space="0" w:color="auto"/>
              <w:bottom w:val="double" w:sz="4" w:space="0" w:color="auto"/>
              <w:right w:val="double" w:sz="4" w:space="0" w:color="auto"/>
            </w:tcBorders>
            <w:vAlign w:val="center"/>
          </w:tcPr>
          <w:p w:rsidR="00F93AB1" w:rsidRPr="008A74EA" w:rsidRDefault="00F93AB1" w:rsidP="00F93AB1">
            <w:pPr>
              <w:pStyle w:val="Heading1"/>
              <w:rPr>
                <w:rFonts w:asciiTheme="majorHAnsi" w:hAnsiTheme="majorHAnsi"/>
              </w:rPr>
            </w:pPr>
            <w:r w:rsidRPr="008A74EA">
              <w:rPr>
                <w:rFonts w:asciiTheme="majorHAnsi" w:hAnsiTheme="majorHAnsi"/>
              </w:rPr>
              <w:t>Compte de production</w:t>
            </w:r>
            <w:r w:rsidR="008A74EA" w:rsidRPr="008A74EA">
              <w:rPr>
                <w:rFonts w:asciiTheme="majorHAnsi" w:hAnsiTheme="majorHAnsi"/>
              </w:rPr>
              <w:t xml:space="preserve"> (N°1)</w:t>
            </w:r>
          </w:p>
        </w:tc>
      </w:tr>
      <w:tr w:rsidR="00F93AB1" w:rsidRPr="008A74EA">
        <w:tc>
          <w:tcPr>
            <w:tcW w:w="3756" w:type="dxa"/>
            <w:tcBorders>
              <w:top w:val="double" w:sz="4" w:space="0" w:color="auto"/>
              <w:left w:val="double" w:sz="4" w:space="0" w:color="auto"/>
            </w:tcBorders>
          </w:tcPr>
          <w:p w:rsidR="00F93AB1" w:rsidRPr="008A74EA" w:rsidRDefault="00F93AB1" w:rsidP="00DC2F48">
            <w:pPr>
              <w:rPr>
                <w:rFonts w:asciiTheme="majorHAnsi" w:hAnsiTheme="majorHAnsi"/>
                <w:b/>
                <w:i/>
              </w:rPr>
            </w:pPr>
            <w:r w:rsidRPr="008A74EA">
              <w:rPr>
                <w:rFonts w:asciiTheme="majorHAnsi" w:hAnsiTheme="majorHAnsi"/>
                <w:b/>
                <w:i/>
              </w:rPr>
              <w:t>Libellé</w:t>
            </w:r>
          </w:p>
        </w:tc>
        <w:tc>
          <w:tcPr>
            <w:tcW w:w="1098" w:type="dxa"/>
            <w:tcBorders>
              <w:top w:val="double" w:sz="4" w:space="0" w:color="auto"/>
              <w:left w:val="double" w:sz="4" w:space="0" w:color="auto"/>
            </w:tcBorders>
          </w:tcPr>
          <w:p w:rsidR="00F93AB1" w:rsidRPr="008A74EA" w:rsidRDefault="00F93AB1" w:rsidP="00DC2F48">
            <w:pPr>
              <w:jc w:val="right"/>
              <w:rPr>
                <w:rFonts w:asciiTheme="majorHAnsi" w:hAnsiTheme="majorHAnsi"/>
                <w:b/>
                <w:i/>
              </w:rPr>
            </w:pPr>
            <w:r w:rsidRPr="008A74EA">
              <w:rPr>
                <w:rFonts w:asciiTheme="majorHAnsi" w:hAnsiTheme="majorHAnsi"/>
                <w:b/>
                <w:i/>
              </w:rPr>
              <w:t>Sommes</w:t>
            </w:r>
          </w:p>
        </w:tc>
        <w:tc>
          <w:tcPr>
            <w:tcW w:w="3721" w:type="dxa"/>
            <w:tcBorders>
              <w:top w:val="double" w:sz="4" w:space="0" w:color="auto"/>
              <w:right w:val="double" w:sz="4" w:space="0" w:color="auto"/>
            </w:tcBorders>
          </w:tcPr>
          <w:p w:rsidR="00F93AB1" w:rsidRPr="008A74EA" w:rsidRDefault="00F93AB1" w:rsidP="00DC2F48">
            <w:pPr>
              <w:rPr>
                <w:rFonts w:asciiTheme="majorHAnsi" w:hAnsiTheme="majorHAnsi"/>
                <w:b/>
                <w:i/>
              </w:rPr>
            </w:pPr>
            <w:r w:rsidRPr="008A74EA">
              <w:rPr>
                <w:rFonts w:asciiTheme="majorHAnsi" w:hAnsiTheme="majorHAnsi"/>
                <w:b/>
                <w:i/>
              </w:rPr>
              <w:t>Libellé</w:t>
            </w:r>
          </w:p>
        </w:tc>
        <w:tc>
          <w:tcPr>
            <w:tcW w:w="1134" w:type="dxa"/>
            <w:tcBorders>
              <w:top w:val="double" w:sz="4" w:space="0" w:color="auto"/>
              <w:right w:val="double" w:sz="4" w:space="0" w:color="auto"/>
            </w:tcBorders>
          </w:tcPr>
          <w:p w:rsidR="00F93AB1" w:rsidRPr="008A74EA" w:rsidRDefault="00F93AB1" w:rsidP="00DC2F48">
            <w:pPr>
              <w:jc w:val="right"/>
              <w:rPr>
                <w:rFonts w:asciiTheme="majorHAnsi" w:hAnsiTheme="majorHAnsi"/>
                <w:b/>
                <w:i/>
              </w:rPr>
            </w:pPr>
            <w:r w:rsidRPr="008A74EA">
              <w:rPr>
                <w:rFonts w:asciiTheme="majorHAnsi" w:hAnsiTheme="majorHAnsi"/>
                <w:b/>
                <w:i/>
              </w:rPr>
              <w:t>Sommes</w:t>
            </w:r>
          </w:p>
        </w:tc>
      </w:tr>
      <w:tr w:rsidR="00F93AB1" w:rsidRPr="008A74EA">
        <w:tc>
          <w:tcPr>
            <w:tcW w:w="3756" w:type="dxa"/>
            <w:tcBorders>
              <w:left w:val="double" w:sz="4" w:space="0" w:color="auto"/>
              <w:bottom w:val="double" w:sz="4" w:space="0" w:color="auto"/>
            </w:tcBorders>
            <w:vAlign w:val="center"/>
          </w:tcPr>
          <w:p w:rsidR="00F93AB1" w:rsidRPr="008A74EA" w:rsidRDefault="002B38DA" w:rsidP="00DC2F48">
            <w:pPr>
              <w:rPr>
                <w:rFonts w:asciiTheme="majorHAnsi" w:hAnsiTheme="majorHAnsi"/>
              </w:rPr>
            </w:pPr>
            <w:r w:rsidRPr="008A74EA">
              <w:rPr>
                <w:rFonts w:asciiTheme="majorHAnsi" w:hAnsiTheme="majorHAnsi" w:cs="Arial"/>
                <w:sz w:val="16"/>
                <w:szCs w:val="16"/>
              </w:rPr>
              <w:t>Consommation intermédiaire</w:t>
            </w:r>
          </w:p>
        </w:tc>
        <w:tc>
          <w:tcPr>
            <w:tcW w:w="1098" w:type="dxa"/>
            <w:tcBorders>
              <w:left w:val="double" w:sz="4" w:space="0" w:color="auto"/>
              <w:bottom w:val="double" w:sz="4" w:space="0" w:color="auto"/>
            </w:tcBorders>
            <w:vAlign w:val="center"/>
          </w:tcPr>
          <w:p w:rsidR="00F93AB1" w:rsidRPr="008A74EA" w:rsidRDefault="002B38DA" w:rsidP="00DC2F48">
            <w:pPr>
              <w:jc w:val="right"/>
              <w:rPr>
                <w:rFonts w:asciiTheme="majorHAnsi" w:hAnsiTheme="majorHAnsi" w:cs="Arial"/>
              </w:rPr>
            </w:pPr>
            <w:r w:rsidRPr="008A74EA">
              <w:rPr>
                <w:rFonts w:asciiTheme="majorHAnsi" w:hAnsiTheme="majorHAnsi" w:cs="Arial"/>
                <w:b/>
              </w:rPr>
              <w:t>1 435,1</w:t>
            </w:r>
          </w:p>
        </w:tc>
        <w:tc>
          <w:tcPr>
            <w:tcW w:w="3721" w:type="dxa"/>
            <w:tcBorders>
              <w:right w:val="double" w:sz="4" w:space="0" w:color="auto"/>
            </w:tcBorders>
            <w:vAlign w:val="center"/>
          </w:tcPr>
          <w:p w:rsidR="00F93AB1" w:rsidRPr="008A74EA" w:rsidRDefault="002B38DA" w:rsidP="00DC2F48">
            <w:pPr>
              <w:rPr>
                <w:rFonts w:asciiTheme="majorHAnsi" w:hAnsiTheme="majorHAnsi"/>
              </w:rPr>
            </w:pPr>
            <w:r w:rsidRPr="008A74EA">
              <w:rPr>
                <w:rFonts w:asciiTheme="majorHAnsi" w:hAnsiTheme="majorHAnsi" w:cs="Arial"/>
                <w:sz w:val="16"/>
                <w:szCs w:val="16"/>
              </w:rPr>
              <w:t>Production</w:t>
            </w:r>
          </w:p>
        </w:tc>
        <w:tc>
          <w:tcPr>
            <w:tcW w:w="1134" w:type="dxa"/>
            <w:tcBorders>
              <w:right w:val="double" w:sz="4" w:space="0" w:color="auto"/>
            </w:tcBorders>
            <w:vAlign w:val="center"/>
          </w:tcPr>
          <w:p w:rsidR="00F93AB1" w:rsidRPr="008A74EA" w:rsidRDefault="002B38DA" w:rsidP="00DC2F48">
            <w:pPr>
              <w:jc w:val="right"/>
              <w:rPr>
                <w:rFonts w:asciiTheme="majorHAnsi" w:hAnsiTheme="majorHAnsi" w:cs="Arial"/>
              </w:rPr>
            </w:pPr>
            <w:r w:rsidRPr="008A74EA">
              <w:rPr>
                <w:rFonts w:asciiTheme="majorHAnsi" w:hAnsiTheme="majorHAnsi"/>
                <w:b/>
                <w:color w:val="000000"/>
              </w:rPr>
              <w:t>2 408,1</w:t>
            </w:r>
          </w:p>
        </w:tc>
      </w:tr>
      <w:tr w:rsidR="00F93AB1" w:rsidRPr="008A74EA">
        <w:tc>
          <w:tcPr>
            <w:tcW w:w="3756" w:type="dxa"/>
            <w:tcBorders>
              <w:top w:val="double" w:sz="4" w:space="0" w:color="auto"/>
              <w:left w:val="double" w:sz="4" w:space="0" w:color="auto"/>
              <w:bottom w:val="double" w:sz="4" w:space="0" w:color="auto"/>
            </w:tcBorders>
            <w:vAlign w:val="center"/>
          </w:tcPr>
          <w:p w:rsidR="00F93AB1" w:rsidRPr="0081049F" w:rsidRDefault="0081049F" w:rsidP="00DC2F48">
            <w:pPr>
              <w:rPr>
                <w:rFonts w:asciiTheme="majorHAnsi" w:hAnsiTheme="majorHAnsi"/>
                <w:b/>
                <w:sz w:val="16"/>
                <w:szCs w:val="16"/>
              </w:rPr>
            </w:pPr>
            <w:r w:rsidRPr="0081049F">
              <w:rPr>
                <w:rFonts w:asciiTheme="majorHAnsi" w:hAnsiTheme="majorHAnsi"/>
                <w:b/>
                <w:sz w:val="16"/>
                <w:szCs w:val="16"/>
              </w:rPr>
              <w:t>Valeur Ajoutée Brute</w:t>
            </w:r>
          </w:p>
        </w:tc>
        <w:tc>
          <w:tcPr>
            <w:tcW w:w="1098" w:type="dxa"/>
            <w:tcBorders>
              <w:top w:val="double" w:sz="4" w:space="0" w:color="auto"/>
              <w:left w:val="double" w:sz="4" w:space="0" w:color="auto"/>
              <w:bottom w:val="double" w:sz="4" w:space="0" w:color="auto"/>
              <w:right w:val="double" w:sz="4" w:space="0" w:color="auto"/>
            </w:tcBorders>
            <w:vAlign w:val="center"/>
          </w:tcPr>
          <w:p w:rsidR="00F93AB1" w:rsidRPr="008A74EA" w:rsidRDefault="0088396F" w:rsidP="00DC2F48">
            <w:pPr>
              <w:jc w:val="right"/>
              <w:rPr>
                <w:rFonts w:asciiTheme="majorHAnsi" w:hAnsiTheme="majorHAnsi"/>
                <w:b/>
              </w:rPr>
            </w:pPr>
            <w:r>
              <w:rPr>
                <w:rFonts w:asciiTheme="majorHAnsi" w:hAnsiTheme="majorHAnsi"/>
                <w:b/>
              </w:rPr>
              <w:t>973,0</w:t>
            </w:r>
          </w:p>
        </w:tc>
        <w:tc>
          <w:tcPr>
            <w:tcW w:w="3721" w:type="dxa"/>
            <w:tcBorders>
              <w:left w:val="double" w:sz="4" w:space="0" w:color="auto"/>
              <w:bottom w:val="double" w:sz="4" w:space="0" w:color="auto"/>
              <w:right w:val="double" w:sz="4" w:space="0" w:color="auto"/>
            </w:tcBorders>
            <w:vAlign w:val="center"/>
          </w:tcPr>
          <w:p w:rsidR="00F93AB1" w:rsidRPr="008A74EA" w:rsidRDefault="00F93AB1" w:rsidP="00DC2F48">
            <w:pPr>
              <w:rPr>
                <w:rFonts w:asciiTheme="majorHAnsi" w:hAnsiTheme="majorHAnsi"/>
              </w:rPr>
            </w:pPr>
          </w:p>
        </w:tc>
        <w:tc>
          <w:tcPr>
            <w:tcW w:w="1134" w:type="dxa"/>
            <w:tcBorders>
              <w:bottom w:val="double" w:sz="4" w:space="0" w:color="auto"/>
              <w:right w:val="double" w:sz="4" w:space="0" w:color="auto"/>
            </w:tcBorders>
            <w:vAlign w:val="center"/>
          </w:tcPr>
          <w:p w:rsidR="00F93AB1" w:rsidRPr="008A74EA" w:rsidRDefault="00F93AB1" w:rsidP="00DC2F48">
            <w:pPr>
              <w:jc w:val="right"/>
              <w:rPr>
                <w:rFonts w:asciiTheme="majorHAnsi" w:hAnsiTheme="majorHAnsi"/>
              </w:rPr>
            </w:pPr>
          </w:p>
        </w:tc>
      </w:tr>
    </w:tbl>
    <w:p w:rsidR="00F93AB1" w:rsidRDefault="00F93AB1" w:rsidP="00F93AB1">
      <w:pPr>
        <w:ind w:firstLine="709"/>
        <w:jc w:val="center"/>
        <w:rPr>
          <w:rFonts w:asciiTheme="majorHAnsi" w:hAnsiTheme="majorHAnsi"/>
        </w:rPr>
      </w:pPr>
    </w:p>
    <w:p w:rsidR="00C81D2F" w:rsidRPr="008A74EA" w:rsidRDefault="00C81D2F" w:rsidP="00F93AB1">
      <w:pPr>
        <w:ind w:firstLine="709"/>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56"/>
        <w:gridCol w:w="1098"/>
        <w:gridCol w:w="3721"/>
        <w:gridCol w:w="1134"/>
      </w:tblGrid>
      <w:tr w:rsidR="00F93AB1" w:rsidRPr="008A74EA">
        <w:trPr>
          <w:cantSplit/>
        </w:trPr>
        <w:tc>
          <w:tcPr>
            <w:tcW w:w="9709" w:type="dxa"/>
            <w:gridSpan w:val="4"/>
            <w:tcBorders>
              <w:top w:val="double" w:sz="4" w:space="0" w:color="auto"/>
              <w:left w:val="double" w:sz="4" w:space="0" w:color="auto"/>
              <w:bottom w:val="double" w:sz="4" w:space="0" w:color="auto"/>
              <w:right w:val="double" w:sz="4" w:space="0" w:color="auto"/>
            </w:tcBorders>
          </w:tcPr>
          <w:p w:rsidR="00F93AB1" w:rsidRPr="008A74EA" w:rsidRDefault="00F93AB1" w:rsidP="00F93AB1">
            <w:pPr>
              <w:pStyle w:val="Heading1"/>
              <w:rPr>
                <w:rFonts w:asciiTheme="majorHAnsi" w:hAnsiTheme="majorHAnsi"/>
              </w:rPr>
            </w:pPr>
            <w:r w:rsidRPr="008A74EA">
              <w:rPr>
                <w:rFonts w:asciiTheme="majorHAnsi" w:hAnsiTheme="majorHAnsi"/>
              </w:rPr>
              <w:t>Compte d’exploitation</w:t>
            </w:r>
            <w:r w:rsidR="008A74EA">
              <w:rPr>
                <w:rFonts w:asciiTheme="majorHAnsi" w:hAnsiTheme="majorHAnsi"/>
              </w:rPr>
              <w:t xml:space="preserve"> (N°2)</w:t>
            </w:r>
          </w:p>
        </w:tc>
      </w:tr>
      <w:tr w:rsidR="00F93AB1" w:rsidRPr="008A74EA">
        <w:tc>
          <w:tcPr>
            <w:tcW w:w="3756" w:type="dxa"/>
            <w:tcBorders>
              <w:top w:val="double" w:sz="4" w:space="0" w:color="auto"/>
              <w:left w:val="double" w:sz="4" w:space="0" w:color="auto"/>
            </w:tcBorders>
          </w:tcPr>
          <w:p w:rsidR="00F93AB1" w:rsidRPr="008A74EA" w:rsidRDefault="00F93AB1" w:rsidP="00DC2F48">
            <w:pPr>
              <w:rPr>
                <w:rFonts w:asciiTheme="majorHAnsi" w:hAnsiTheme="majorHAnsi"/>
                <w:b/>
                <w:i/>
              </w:rPr>
            </w:pPr>
            <w:r w:rsidRPr="008A74EA">
              <w:rPr>
                <w:rFonts w:asciiTheme="majorHAnsi" w:hAnsiTheme="majorHAnsi"/>
                <w:b/>
                <w:i/>
              </w:rPr>
              <w:t>Libellé</w:t>
            </w:r>
          </w:p>
        </w:tc>
        <w:tc>
          <w:tcPr>
            <w:tcW w:w="1098" w:type="dxa"/>
            <w:tcBorders>
              <w:top w:val="double" w:sz="4" w:space="0" w:color="auto"/>
              <w:left w:val="double" w:sz="4" w:space="0" w:color="auto"/>
            </w:tcBorders>
          </w:tcPr>
          <w:p w:rsidR="00F93AB1" w:rsidRPr="008A74EA" w:rsidRDefault="00F93AB1" w:rsidP="00DC2F48">
            <w:pPr>
              <w:jc w:val="right"/>
              <w:rPr>
                <w:rFonts w:asciiTheme="majorHAnsi" w:hAnsiTheme="majorHAnsi"/>
                <w:b/>
                <w:i/>
              </w:rPr>
            </w:pPr>
            <w:r w:rsidRPr="008A74EA">
              <w:rPr>
                <w:rFonts w:asciiTheme="majorHAnsi" w:hAnsiTheme="majorHAnsi"/>
                <w:b/>
                <w:i/>
              </w:rPr>
              <w:t>Sommes</w:t>
            </w:r>
          </w:p>
        </w:tc>
        <w:tc>
          <w:tcPr>
            <w:tcW w:w="3721" w:type="dxa"/>
            <w:tcBorders>
              <w:top w:val="double" w:sz="4" w:space="0" w:color="auto"/>
              <w:right w:val="double" w:sz="4" w:space="0" w:color="auto"/>
            </w:tcBorders>
          </w:tcPr>
          <w:p w:rsidR="00F93AB1" w:rsidRPr="008A74EA" w:rsidRDefault="00F93AB1" w:rsidP="00DC2F48">
            <w:pPr>
              <w:rPr>
                <w:rFonts w:asciiTheme="majorHAnsi" w:hAnsiTheme="majorHAnsi"/>
                <w:b/>
                <w:i/>
              </w:rPr>
            </w:pPr>
            <w:r w:rsidRPr="008A74EA">
              <w:rPr>
                <w:rFonts w:asciiTheme="majorHAnsi" w:hAnsiTheme="majorHAnsi"/>
                <w:b/>
                <w:i/>
              </w:rPr>
              <w:t>Libellé</w:t>
            </w:r>
          </w:p>
        </w:tc>
        <w:tc>
          <w:tcPr>
            <w:tcW w:w="1134" w:type="dxa"/>
            <w:tcBorders>
              <w:top w:val="double" w:sz="4" w:space="0" w:color="auto"/>
              <w:right w:val="double" w:sz="4" w:space="0" w:color="auto"/>
            </w:tcBorders>
          </w:tcPr>
          <w:p w:rsidR="00F93AB1" w:rsidRPr="008A74EA" w:rsidRDefault="00F93AB1" w:rsidP="00DC2F48">
            <w:pPr>
              <w:jc w:val="right"/>
              <w:rPr>
                <w:rFonts w:asciiTheme="majorHAnsi" w:hAnsiTheme="majorHAnsi"/>
                <w:b/>
                <w:i/>
              </w:rPr>
            </w:pPr>
            <w:r w:rsidRPr="008A74EA">
              <w:rPr>
                <w:rFonts w:asciiTheme="majorHAnsi" w:hAnsiTheme="majorHAnsi"/>
                <w:b/>
                <w:i/>
              </w:rPr>
              <w:t>Sommes</w:t>
            </w:r>
          </w:p>
        </w:tc>
      </w:tr>
      <w:tr w:rsidR="002B38DA" w:rsidRPr="008A74EA">
        <w:tc>
          <w:tcPr>
            <w:tcW w:w="3756" w:type="dxa"/>
            <w:tcBorders>
              <w:left w:val="double" w:sz="4" w:space="0" w:color="auto"/>
            </w:tcBorders>
            <w:vAlign w:val="center"/>
          </w:tcPr>
          <w:p w:rsidR="002B38DA" w:rsidRPr="008A74EA" w:rsidRDefault="002B38DA" w:rsidP="00670B0E">
            <w:pPr>
              <w:rPr>
                <w:rFonts w:asciiTheme="majorHAnsi" w:hAnsiTheme="majorHAnsi" w:cs="Arial"/>
                <w:sz w:val="16"/>
                <w:szCs w:val="16"/>
              </w:rPr>
            </w:pPr>
            <w:r w:rsidRPr="008A74EA">
              <w:rPr>
                <w:rFonts w:asciiTheme="majorHAnsi" w:hAnsiTheme="majorHAnsi" w:cs="Arial"/>
                <w:sz w:val="16"/>
                <w:szCs w:val="16"/>
              </w:rPr>
              <w:t>Salaires et traitements</w:t>
            </w:r>
            <w:r>
              <w:rPr>
                <w:rFonts w:asciiTheme="majorHAnsi" w:hAnsiTheme="majorHAnsi" w:cs="Arial"/>
                <w:sz w:val="16"/>
                <w:szCs w:val="16"/>
              </w:rPr>
              <w:t xml:space="preserve"> versés</w:t>
            </w:r>
          </w:p>
        </w:tc>
        <w:tc>
          <w:tcPr>
            <w:tcW w:w="1098" w:type="dxa"/>
            <w:tcBorders>
              <w:left w:val="double" w:sz="4" w:space="0" w:color="auto"/>
            </w:tcBorders>
            <w:vAlign w:val="center"/>
          </w:tcPr>
          <w:p w:rsidR="002B38DA" w:rsidRPr="008A74EA" w:rsidRDefault="002B38DA" w:rsidP="00670B0E">
            <w:pPr>
              <w:jc w:val="right"/>
              <w:rPr>
                <w:rFonts w:asciiTheme="majorHAnsi" w:hAnsiTheme="majorHAnsi" w:cs="Arial"/>
              </w:rPr>
            </w:pPr>
            <w:r w:rsidRPr="008A74EA">
              <w:rPr>
                <w:rFonts w:asciiTheme="majorHAnsi" w:hAnsiTheme="majorHAnsi" w:cs="Arial"/>
                <w:b/>
              </w:rPr>
              <w:t>493,2</w:t>
            </w:r>
          </w:p>
        </w:tc>
        <w:tc>
          <w:tcPr>
            <w:tcW w:w="3721" w:type="dxa"/>
            <w:tcBorders>
              <w:right w:val="double" w:sz="4" w:space="0" w:color="auto"/>
            </w:tcBorders>
            <w:vAlign w:val="center"/>
          </w:tcPr>
          <w:p w:rsidR="002B38DA" w:rsidRPr="0081049F" w:rsidRDefault="0081049F" w:rsidP="00DC2F48">
            <w:pPr>
              <w:rPr>
                <w:rFonts w:asciiTheme="majorHAnsi" w:hAnsiTheme="majorHAnsi"/>
                <w:b/>
              </w:rPr>
            </w:pPr>
            <w:r w:rsidRPr="0081049F">
              <w:rPr>
                <w:rFonts w:asciiTheme="majorHAnsi" w:hAnsiTheme="majorHAnsi"/>
                <w:b/>
                <w:sz w:val="16"/>
                <w:szCs w:val="16"/>
              </w:rPr>
              <w:t>Valeur Ajoutée Brute</w:t>
            </w:r>
          </w:p>
        </w:tc>
        <w:tc>
          <w:tcPr>
            <w:tcW w:w="1134" w:type="dxa"/>
            <w:tcBorders>
              <w:right w:val="double" w:sz="4" w:space="0" w:color="auto"/>
            </w:tcBorders>
            <w:vAlign w:val="center"/>
          </w:tcPr>
          <w:p w:rsidR="002B38DA" w:rsidRPr="008A74EA" w:rsidRDefault="0088396F" w:rsidP="00DC2F48">
            <w:pPr>
              <w:jc w:val="right"/>
              <w:rPr>
                <w:rFonts w:asciiTheme="majorHAnsi" w:hAnsiTheme="majorHAnsi"/>
                <w:b/>
              </w:rPr>
            </w:pPr>
            <w:r>
              <w:rPr>
                <w:rFonts w:asciiTheme="majorHAnsi" w:hAnsiTheme="majorHAnsi"/>
                <w:b/>
              </w:rPr>
              <w:t>973,0</w:t>
            </w:r>
          </w:p>
        </w:tc>
      </w:tr>
      <w:tr w:rsidR="002B38DA" w:rsidRPr="008A74EA">
        <w:tc>
          <w:tcPr>
            <w:tcW w:w="3756" w:type="dxa"/>
            <w:tcBorders>
              <w:left w:val="double" w:sz="4" w:space="0" w:color="auto"/>
            </w:tcBorders>
            <w:vAlign w:val="center"/>
          </w:tcPr>
          <w:p w:rsidR="002B38DA" w:rsidRPr="008A74EA" w:rsidRDefault="002B38DA" w:rsidP="00670B0E">
            <w:pPr>
              <w:rPr>
                <w:rFonts w:asciiTheme="majorHAnsi" w:hAnsiTheme="majorHAnsi" w:cs="Arial"/>
                <w:sz w:val="16"/>
                <w:szCs w:val="16"/>
              </w:rPr>
            </w:pPr>
            <w:r w:rsidRPr="008A74EA">
              <w:rPr>
                <w:rFonts w:asciiTheme="majorHAnsi" w:hAnsiTheme="majorHAnsi" w:cs="Arial"/>
                <w:sz w:val="16"/>
                <w:szCs w:val="16"/>
              </w:rPr>
              <w:t>Cotisations sociales employeurs</w:t>
            </w:r>
            <w:r>
              <w:rPr>
                <w:rFonts w:asciiTheme="majorHAnsi" w:hAnsiTheme="majorHAnsi" w:cs="Arial"/>
                <w:sz w:val="16"/>
                <w:szCs w:val="16"/>
              </w:rPr>
              <w:t xml:space="preserve"> versées</w:t>
            </w:r>
          </w:p>
        </w:tc>
        <w:tc>
          <w:tcPr>
            <w:tcW w:w="1098" w:type="dxa"/>
            <w:tcBorders>
              <w:left w:val="double" w:sz="4" w:space="0" w:color="auto"/>
            </w:tcBorders>
            <w:vAlign w:val="center"/>
          </w:tcPr>
          <w:p w:rsidR="002B38DA" w:rsidRPr="008A74EA" w:rsidRDefault="002B38DA" w:rsidP="00670B0E">
            <w:pPr>
              <w:jc w:val="right"/>
              <w:rPr>
                <w:rFonts w:asciiTheme="majorHAnsi" w:hAnsiTheme="majorHAnsi" w:cs="Arial"/>
              </w:rPr>
            </w:pPr>
            <w:r w:rsidRPr="008A74EA">
              <w:rPr>
                <w:rFonts w:asciiTheme="majorHAnsi" w:hAnsiTheme="majorHAnsi" w:cs="Arial"/>
                <w:b/>
              </w:rPr>
              <w:t>156,4</w:t>
            </w:r>
          </w:p>
        </w:tc>
        <w:tc>
          <w:tcPr>
            <w:tcW w:w="3721" w:type="dxa"/>
            <w:tcBorders>
              <w:right w:val="double" w:sz="4" w:space="0" w:color="auto"/>
            </w:tcBorders>
          </w:tcPr>
          <w:p w:rsidR="002B38DA" w:rsidRPr="008A74EA" w:rsidRDefault="002B38DA" w:rsidP="00DC2F48">
            <w:pPr>
              <w:rPr>
                <w:rFonts w:asciiTheme="majorHAnsi" w:hAnsiTheme="majorHAnsi"/>
              </w:rPr>
            </w:pPr>
          </w:p>
        </w:tc>
        <w:tc>
          <w:tcPr>
            <w:tcW w:w="1134" w:type="dxa"/>
            <w:tcBorders>
              <w:right w:val="double" w:sz="4" w:space="0" w:color="auto"/>
            </w:tcBorders>
          </w:tcPr>
          <w:p w:rsidR="002B38DA" w:rsidRPr="008A74EA" w:rsidRDefault="002B38DA" w:rsidP="00DC2F48">
            <w:pPr>
              <w:jc w:val="right"/>
              <w:rPr>
                <w:rFonts w:asciiTheme="majorHAnsi" w:hAnsiTheme="majorHAnsi"/>
              </w:rPr>
            </w:pPr>
          </w:p>
        </w:tc>
      </w:tr>
      <w:tr w:rsidR="002B38DA" w:rsidRPr="008A74EA">
        <w:tc>
          <w:tcPr>
            <w:tcW w:w="3756" w:type="dxa"/>
            <w:tcBorders>
              <w:left w:val="double" w:sz="4" w:space="0" w:color="auto"/>
            </w:tcBorders>
            <w:vAlign w:val="center"/>
          </w:tcPr>
          <w:p w:rsidR="002B38DA" w:rsidRPr="008A74EA" w:rsidRDefault="002B38DA" w:rsidP="00670B0E">
            <w:pPr>
              <w:rPr>
                <w:rFonts w:asciiTheme="majorHAnsi" w:hAnsiTheme="majorHAnsi" w:cs="Arial"/>
                <w:sz w:val="16"/>
                <w:szCs w:val="16"/>
              </w:rPr>
            </w:pPr>
            <w:r w:rsidRPr="008A74EA">
              <w:rPr>
                <w:rFonts w:asciiTheme="majorHAnsi" w:hAnsiTheme="majorHAnsi" w:cs="Arial"/>
                <w:sz w:val="16"/>
                <w:szCs w:val="16"/>
              </w:rPr>
              <w:t>Impôts sur la production et les importations</w:t>
            </w:r>
          </w:p>
        </w:tc>
        <w:tc>
          <w:tcPr>
            <w:tcW w:w="1098" w:type="dxa"/>
            <w:tcBorders>
              <w:left w:val="double" w:sz="4" w:space="0" w:color="auto"/>
            </w:tcBorders>
            <w:vAlign w:val="center"/>
          </w:tcPr>
          <w:p w:rsidR="002B38DA" w:rsidRPr="008A74EA" w:rsidRDefault="002B38DA" w:rsidP="00670B0E">
            <w:pPr>
              <w:jc w:val="right"/>
              <w:rPr>
                <w:rFonts w:asciiTheme="majorHAnsi" w:hAnsiTheme="majorHAnsi" w:cs="Arial"/>
              </w:rPr>
            </w:pPr>
            <w:r w:rsidRPr="008A74EA">
              <w:rPr>
                <w:rFonts w:asciiTheme="majorHAnsi" w:hAnsiTheme="majorHAnsi" w:cs="Arial"/>
                <w:b/>
              </w:rPr>
              <w:t>49,0</w:t>
            </w:r>
          </w:p>
        </w:tc>
        <w:tc>
          <w:tcPr>
            <w:tcW w:w="3721" w:type="dxa"/>
            <w:tcBorders>
              <w:right w:val="double" w:sz="4" w:space="0" w:color="auto"/>
            </w:tcBorders>
            <w:vAlign w:val="center"/>
          </w:tcPr>
          <w:p w:rsidR="002B38DA" w:rsidRPr="008A74EA" w:rsidRDefault="002B38DA" w:rsidP="00DC2F48">
            <w:pPr>
              <w:rPr>
                <w:rFonts w:asciiTheme="majorHAnsi" w:hAnsiTheme="majorHAnsi"/>
              </w:rPr>
            </w:pPr>
          </w:p>
        </w:tc>
        <w:tc>
          <w:tcPr>
            <w:tcW w:w="1134" w:type="dxa"/>
            <w:tcBorders>
              <w:right w:val="double" w:sz="4" w:space="0" w:color="auto"/>
            </w:tcBorders>
            <w:vAlign w:val="center"/>
          </w:tcPr>
          <w:p w:rsidR="002B38DA" w:rsidRPr="008A74EA" w:rsidRDefault="002B38DA" w:rsidP="00DC2F48">
            <w:pPr>
              <w:jc w:val="right"/>
              <w:rPr>
                <w:rFonts w:asciiTheme="majorHAnsi" w:hAnsiTheme="majorHAnsi" w:cs="Arial"/>
              </w:rPr>
            </w:pPr>
          </w:p>
        </w:tc>
      </w:tr>
      <w:tr w:rsidR="002B38DA" w:rsidRPr="008A74EA">
        <w:tc>
          <w:tcPr>
            <w:tcW w:w="3756" w:type="dxa"/>
            <w:tcBorders>
              <w:left w:val="double" w:sz="4" w:space="0" w:color="auto"/>
              <w:bottom w:val="double" w:sz="4" w:space="0" w:color="auto"/>
            </w:tcBorders>
            <w:vAlign w:val="center"/>
          </w:tcPr>
          <w:p w:rsidR="002B38DA" w:rsidRPr="008A74EA" w:rsidRDefault="002B38DA" w:rsidP="00DC2F48">
            <w:pPr>
              <w:rPr>
                <w:rFonts w:asciiTheme="majorHAnsi" w:hAnsiTheme="majorHAnsi"/>
              </w:rPr>
            </w:pPr>
            <w:r w:rsidRPr="008A74EA">
              <w:rPr>
                <w:rFonts w:asciiTheme="majorHAnsi" w:hAnsiTheme="majorHAnsi" w:cs="Arial"/>
                <w:sz w:val="16"/>
                <w:szCs w:val="16"/>
              </w:rPr>
              <w:t>Subventions d'exploitation</w:t>
            </w:r>
          </w:p>
        </w:tc>
        <w:tc>
          <w:tcPr>
            <w:tcW w:w="1098" w:type="dxa"/>
            <w:tcBorders>
              <w:left w:val="double" w:sz="4" w:space="0" w:color="auto"/>
              <w:bottom w:val="double" w:sz="4" w:space="0" w:color="auto"/>
            </w:tcBorders>
            <w:vAlign w:val="center"/>
          </w:tcPr>
          <w:p w:rsidR="002B38DA" w:rsidRPr="008A74EA" w:rsidRDefault="002B38DA" w:rsidP="00DC2F48">
            <w:pPr>
              <w:jc w:val="right"/>
              <w:rPr>
                <w:rFonts w:asciiTheme="majorHAnsi" w:hAnsiTheme="majorHAnsi" w:cs="Arial"/>
              </w:rPr>
            </w:pPr>
            <w:r w:rsidRPr="00A37D1C">
              <w:rPr>
                <w:rFonts w:asciiTheme="majorHAnsi" w:hAnsiTheme="majorHAnsi" w:cs="Arial"/>
                <w:b/>
              </w:rPr>
              <w:t>-</w:t>
            </w:r>
            <w:r w:rsidRPr="008A74EA">
              <w:rPr>
                <w:rFonts w:asciiTheme="majorHAnsi" w:hAnsiTheme="majorHAnsi" w:cs="Arial"/>
                <w:b/>
              </w:rPr>
              <w:t>19,2</w:t>
            </w:r>
          </w:p>
        </w:tc>
        <w:tc>
          <w:tcPr>
            <w:tcW w:w="3721" w:type="dxa"/>
            <w:tcBorders>
              <w:right w:val="double" w:sz="4" w:space="0" w:color="auto"/>
            </w:tcBorders>
          </w:tcPr>
          <w:p w:rsidR="002B38DA" w:rsidRPr="008A74EA" w:rsidRDefault="002B38DA" w:rsidP="00DC2F48">
            <w:pPr>
              <w:rPr>
                <w:rFonts w:asciiTheme="majorHAnsi" w:hAnsiTheme="majorHAnsi"/>
              </w:rPr>
            </w:pPr>
          </w:p>
        </w:tc>
        <w:tc>
          <w:tcPr>
            <w:tcW w:w="1134" w:type="dxa"/>
            <w:tcBorders>
              <w:right w:val="double" w:sz="4" w:space="0" w:color="auto"/>
            </w:tcBorders>
          </w:tcPr>
          <w:p w:rsidR="002B38DA" w:rsidRPr="008A74EA" w:rsidRDefault="002B38DA" w:rsidP="00DC2F48">
            <w:pPr>
              <w:jc w:val="right"/>
              <w:rPr>
                <w:rFonts w:asciiTheme="majorHAnsi" w:hAnsiTheme="majorHAnsi"/>
              </w:rPr>
            </w:pPr>
          </w:p>
        </w:tc>
      </w:tr>
      <w:tr w:rsidR="002B38DA" w:rsidRPr="008A74EA">
        <w:tc>
          <w:tcPr>
            <w:tcW w:w="3756" w:type="dxa"/>
            <w:tcBorders>
              <w:top w:val="double" w:sz="4" w:space="0" w:color="auto"/>
              <w:left w:val="double" w:sz="4" w:space="0" w:color="auto"/>
              <w:bottom w:val="double" w:sz="4" w:space="0" w:color="auto"/>
            </w:tcBorders>
            <w:vAlign w:val="center"/>
          </w:tcPr>
          <w:p w:rsidR="002B38DA" w:rsidRPr="0081049F" w:rsidRDefault="0081049F" w:rsidP="0081049F">
            <w:pPr>
              <w:rPr>
                <w:rFonts w:asciiTheme="majorHAnsi" w:hAnsiTheme="majorHAnsi"/>
                <w:b/>
                <w:sz w:val="16"/>
                <w:szCs w:val="16"/>
              </w:rPr>
            </w:pPr>
            <w:r w:rsidRPr="0081049F">
              <w:rPr>
                <w:rFonts w:asciiTheme="majorHAnsi" w:hAnsiTheme="majorHAnsi"/>
                <w:b/>
                <w:sz w:val="16"/>
                <w:szCs w:val="16"/>
              </w:rPr>
              <w:t>Excédent Brut d’Exploitation</w:t>
            </w:r>
          </w:p>
        </w:tc>
        <w:tc>
          <w:tcPr>
            <w:tcW w:w="1098" w:type="dxa"/>
            <w:tcBorders>
              <w:top w:val="double" w:sz="4" w:space="0" w:color="auto"/>
              <w:left w:val="double" w:sz="4" w:space="0" w:color="auto"/>
              <w:bottom w:val="double" w:sz="4" w:space="0" w:color="auto"/>
              <w:right w:val="double" w:sz="4" w:space="0" w:color="auto"/>
            </w:tcBorders>
          </w:tcPr>
          <w:p w:rsidR="002B38DA" w:rsidRPr="008A74EA" w:rsidRDefault="0088396F" w:rsidP="00DC2F48">
            <w:pPr>
              <w:jc w:val="right"/>
              <w:rPr>
                <w:rFonts w:asciiTheme="majorHAnsi" w:hAnsiTheme="majorHAnsi"/>
                <w:b/>
              </w:rPr>
            </w:pPr>
            <w:r>
              <w:rPr>
                <w:rFonts w:asciiTheme="majorHAnsi" w:hAnsiTheme="majorHAnsi"/>
                <w:b/>
              </w:rPr>
              <w:t>293,6</w:t>
            </w:r>
          </w:p>
        </w:tc>
        <w:tc>
          <w:tcPr>
            <w:tcW w:w="3721" w:type="dxa"/>
            <w:tcBorders>
              <w:left w:val="double" w:sz="4" w:space="0" w:color="auto"/>
              <w:bottom w:val="double" w:sz="4" w:space="0" w:color="auto"/>
              <w:right w:val="double" w:sz="4" w:space="0" w:color="auto"/>
            </w:tcBorders>
          </w:tcPr>
          <w:p w:rsidR="002B38DA" w:rsidRPr="008A74EA" w:rsidRDefault="002B38DA" w:rsidP="00DC2F48">
            <w:pPr>
              <w:rPr>
                <w:rFonts w:asciiTheme="majorHAnsi" w:hAnsiTheme="majorHAnsi"/>
              </w:rPr>
            </w:pPr>
          </w:p>
        </w:tc>
        <w:tc>
          <w:tcPr>
            <w:tcW w:w="1134" w:type="dxa"/>
            <w:tcBorders>
              <w:bottom w:val="double" w:sz="4" w:space="0" w:color="auto"/>
              <w:right w:val="double" w:sz="4" w:space="0" w:color="auto"/>
            </w:tcBorders>
          </w:tcPr>
          <w:p w:rsidR="002B38DA" w:rsidRPr="008A74EA" w:rsidRDefault="002B38DA" w:rsidP="00DC2F48">
            <w:pPr>
              <w:jc w:val="right"/>
              <w:rPr>
                <w:rFonts w:asciiTheme="majorHAnsi" w:hAnsiTheme="majorHAnsi"/>
              </w:rPr>
            </w:pPr>
          </w:p>
        </w:tc>
      </w:tr>
    </w:tbl>
    <w:p w:rsidR="00F93AB1" w:rsidRDefault="00F93AB1" w:rsidP="00F93AB1">
      <w:pPr>
        <w:ind w:firstLine="709"/>
        <w:jc w:val="center"/>
        <w:rPr>
          <w:rFonts w:asciiTheme="majorHAnsi" w:hAnsiTheme="majorHAnsi"/>
        </w:rPr>
      </w:pPr>
    </w:p>
    <w:p w:rsidR="00C81D2F" w:rsidRPr="008A74EA" w:rsidRDefault="00C81D2F" w:rsidP="00F93AB1">
      <w:pPr>
        <w:ind w:firstLine="709"/>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56"/>
        <w:gridCol w:w="1098"/>
        <w:gridCol w:w="3721"/>
        <w:gridCol w:w="1134"/>
      </w:tblGrid>
      <w:tr w:rsidR="00F93AB1" w:rsidRPr="008A74EA">
        <w:trPr>
          <w:cantSplit/>
        </w:trPr>
        <w:tc>
          <w:tcPr>
            <w:tcW w:w="9709" w:type="dxa"/>
            <w:gridSpan w:val="4"/>
            <w:tcBorders>
              <w:top w:val="double" w:sz="4" w:space="0" w:color="auto"/>
              <w:left w:val="double" w:sz="4" w:space="0" w:color="auto"/>
              <w:bottom w:val="double" w:sz="4" w:space="0" w:color="auto"/>
              <w:right w:val="double" w:sz="4" w:space="0" w:color="auto"/>
            </w:tcBorders>
          </w:tcPr>
          <w:p w:rsidR="00F93AB1" w:rsidRPr="008A74EA" w:rsidRDefault="00F93AB1" w:rsidP="00F93AB1">
            <w:pPr>
              <w:pStyle w:val="Heading1"/>
              <w:rPr>
                <w:rFonts w:asciiTheme="majorHAnsi" w:hAnsiTheme="majorHAnsi"/>
              </w:rPr>
            </w:pPr>
            <w:r w:rsidRPr="008A74EA">
              <w:rPr>
                <w:rFonts w:asciiTheme="majorHAnsi" w:hAnsiTheme="majorHAnsi"/>
              </w:rPr>
              <w:t>Compte d’affectation des revenus primaires</w:t>
            </w:r>
            <w:r w:rsidR="008A74EA">
              <w:rPr>
                <w:rFonts w:asciiTheme="majorHAnsi" w:hAnsiTheme="majorHAnsi"/>
              </w:rPr>
              <w:t xml:space="preserve"> (N°3)</w:t>
            </w:r>
          </w:p>
        </w:tc>
      </w:tr>
      <w:tr w:rsidR="00F93AB1" w:rsidRPr="008A74EA">
        <w:tc>
          <w:tcPr>
            <w:tcW w:w="3756" w:type="dxa"/>
            <w:tcBorders>
              <w:top w:val="double" w:sz="4" w:space="0" w:color="auto"/>
              <w:left w:val="double" w:sz="4" w:space="0" w:color="auto"/>
            </w:tcBorders>
          </w:tcPr>
          <w:p w:rsidR="00F93AB1" w:rsidRPr="008A74EA" w:rsidRDefault="00F93AB1" w:rsidP="00DC2F48">
            <w:pPr>
              <w:rPr>
                <w:rFonts w:asciiTheme="majorHAnsi" w:hAnsiTheme="majorHAnsi"/>
                <w:b/>
                <w:i/>
              </w:rPr>
            </w:pPr>
            <w:r w:rsidRPr="008A74EA">
              <w:rPr>
                <w:rFonts w:asciiTheme="majorHAnsi" w:hAnsiTheme="majorHAnsi"/>
                <w:b/>
                <w:i/>
              </w:rPr>
              <w:t>Libellé</w:t>
            </w:r>
          </w:p>
        </w:tc>
        <w:tc>
          <w:tcPr>
            <w:tcW w:w="1098" w:type="dxa"/>
            <w:tcBorders>
              <w:top w:val="double" w:sz="4" w:space="0" w:color="auto"/>
              <w:left w:val="double" w:sz="4" w:space="0" w:color="auto"/>
            </w:tcBorders>
          </w:tcPr>
          <w:p w:rsidR="00F93AB1" w:rsidRPr="008A74EA" w:rsidRDefault="00F93AB1" w:rsidP="00DC2F48">
            <w:pPr>
              <w:jc w:val="right"/>
              <w:rPr>
                <w:rFonts w:asciiTheme="majorHAnsi" w:hAnsiTheme="majorHAnsi"/>
                <w:b/>
                <w:i/>
              </w:rPr>
            </w:pPr>
            <w:r w:rsidRPr="008A74EA">
              <w:rPr>
                <w:rFonts w:asciiTheme="majorHAnsi" w:hAnsiTheme="majorHAnsi"/>
                <w:b/>
                <w:i/>
              </w:rPr>
              <w:t>Sommes</w:t>
            </w:r>
          </w:p>
        </w:tc>
        <w:tc>
          <w:tcPr>
            <w:tcW w:w="3721" w:type="dxa"/>
            <w:tcBorders>
              <w:top w:val="double" w:sz="4" w:space="0" w:color="auto"/>
              <w:right w:val="double" w:sz="4" w:space="0" w:color="auto"/>
            </w:tcBorders>
          </w:tcPr>
          <w:p w:rsidR="00F93AB1" w:rsidRPr="008A74EA" w:rsidRDefault="00F93AB1" w:rsidP="00DC2F48">
            <w:pPr>
              <w:rPr>
                <w:rFonts w:asciiTheme="majorHAnsi" w:hAnsiTheme="majorHAnsi"/>
                <w:b/>
                <w:i/>
              </w:rPr>
            </w:pPr>
            <w:r w:rsidRPr="008A74EA">
              <w:rPr>
                <w:rFonts w:asciiTheme="majorHAnsi" w:hAnsiTheme="majorHAnsi"/>
                <w:b/>
                <w:i/>
              </w:rPr>
              <w:t>Libellé</w:t>
            </w:r>
          </w:p>
        </w:tc>
        <w:tc>
          <w:tcPr>
            <w:tcW w:w="1134" w:type="dxa"/>
            <w:tcBorders>
              <w:top w:val="double" w:sz="4" w:space="0" w:color="auto"/>
              <w:right w:val="double" w:sz="4" w:space="0" w:color="auto"/>
            </w:tcBorders>
          </w:tcPr>
          <w:p w:rsidR="00F93AB1" w:rsidRPr="008A74EA" w:rsidRDefault="00F93AB1" w:rsidP="00DC2F48">
            <w:pPr>
              <w:jc w:val="right"/>
              <w:rPr>
                <w:rFonts w:asciiTheme="majorHAnsi" w:hAnsiTheme="majorHAnsi"/>
                <w:b/>
                <w:i/>
              </w:rPr>
            </w:pPr>
            <w:r w:rsidRPr="008A74EA">
              <w:rPr>
                <w:rFonts w:asciiTheme="majorHAnsi" w:hAnsiTheme="majorHAnsi"/>
                <w:b/>
                <w:i/>
              </w:rPr>
              <w:t>Sommes</w:t>
            </w:r>
          </w:p>
        </w:tc>
      </w:tr>
      <w:tr w:rsidR="00F93AB1" w:rsidRPr="008A74EA">
        <w:tc>
          <w:tcPr>
            <w:tcW w:w="3756" w:type="dxa"/>
            <w:tcBorders>
              <w:left w:val="double" w:sz="4" w:space="0" w:color="auto"/>
            </w:tcBorders>
            <w:vAlign w:val="center"/>
          </w:tcPr>
          <w:p w:rsidR="00F93AB1" w:rsidRPr="008A74EA" w:rsidRDefault="00F93AB1" w:rsidP="00DC2F48">
            <w:pPr>
              <w:rPr>
                <w:rFonts w:asciiTheme="majorHAnsi" w:hAnsiTheme="majorHAnsi"/>
              </w:rPr>
            </w:pPr>
          </w:p>
        </w:tc>
        <w:tc>
          <w:tcPr>
            <w:tcW w:w="1098" w:type="dxa"/>
            <w:tcBorders>
              <w:left w:val="double" w:sz="4" w:space="0" w:color="auto"/>
            </w:tcBorders>
            <w:vAlign w:val="center"/>
          </w:tcPr>
          <w:p w:rsidR="00F93AB1" w:rsidRPr="008A74EA" w:rsidRDefault="00F93AB1" w:rsidP="00DC2F48">
            <w:pPr>
              <w:jc w:val="right"/>
              <w:rPr>
                <w:rFonts w:asciiTheme="majorHAnsi" w:hAnsiTheme="majorHAnsi" w:cs="Arial"/>
              </w:rPr>
            </w:pPr>
          </w:p>
        </w:tc>
        <w:tc>
          <w:tcPr>
            <w:tcW w:w="3721" w:type="dxa"/>
            <w:tcBorders>
              <w:right w:val="double" w:sz="4" w:space="0" w:color="auto"/>
            </w:tcBorders>
            <w:vAlign w:val="center"/>
          </w:tcPr>
          <w:p w:rsidR="00F93AB1" w:rsidRPr="008A74EA" w:rsidRDefault="0081049F" w:rsidP="0081049F">
            <w:pPr>
              <w:rPr>
                <w:rFonts w:asciiTheme="majorHAnsi" w:hAnsiTheme="majorHAnsi"/>
              </w:rPr>
            </w:pPr>
            <w:r w:rsidRPr="0081049F">
              <w:rPr>
                <w:rFonts w:asciiTheme="majorHAnsi" w:hAnsiTheme="majorHAnsi"/>
                <w:b/>
                <w:sz w:val="16"/>
                <w:szCs w:val="16"/>
              </w:rPr>
              <w:t>Excédent Brut d’Exploitation</w:t>
            </w:r>
          </w:p>
        </w:tc>
        <w:tc>
          <w:tcPr>
            <w:tcW w:w="1134" w:type="dxa"/>
            <w:tcBorders>
              <w:right w:val="double" w:sz="4" w:space="0" w:color="auto"/>
            </w:tcBorders>
          </w:tcPr>
          <w:p w:rsidR="00F93AB1" w:rsidRPr="008A74EA" w:rsidRDefault="0088396F" w:rsidP="00DC2F48">
            <w:pPr>
              <w:jc w:val="right"/>
              <w:rPr>
                <w:rFonts w:asciiTheme="majorHAnsi" w:hAnsiTheme="majorHAnsi"/>
                <w:b/>
              </w:rPr>
            </w:pPr>
            <w:r>
              <w:rPr>
                <w:rFonts w:asciiTheme="majorHAnsi" w:hAnsiTheme="majorHAnsi"/>
                <w:b/>
              </w:rPr>
              <w:t>293,6</w:t>
            </w:r>
          </w:p>
        </w:tc>
      </w:tr>
      <w:tr w:rsidR="00AA4280" w:rsidRPr="008A74EA">
        <w:tc>
          <w:tcPr>
            <w:tcW w:w="3756" w:type="dxa"/>
            <w:tcBorders>
              <w:left w:val="double" w:sz="4" w:space="0" w:color="auto"/>
            </w:tcBorders>
            <w:vAlign w:val="center"/>
          </w:tcPr>
          <w:p w:rsidR="00AA4280" w:rsidRPr="008A74EA" w:rsidRDefault="00AA4280" w:rsidP="00670B0E">
            <w:pPr>
              <w:rPr>
                <w:rFonts w:asciiTheme="majorHAnsi" w:hAnsiTheme="majorHAnsi"/>
              </w:rPr>
            </w:pPr>
            <w:r w:rsidRPr="008A74EA">
              <w:rPr>
                <w:rFonts w:asciiTheme="majorHAnsi" w:hAnsiTheme="majorHAnsi" w:cs="Arial"/>
                <w:sz w:val="16"/>
                <w:szCs w:val="16"/>
              </w:rPr>
              <w:t>Intérêts versés</w:t>
            </w:r>
          </w:p>
        </w:tc>
        <w:tc>
          <w:tcPr>
            <w:tcW w:w="1098" w:type="dxa"/>
            <w:tcBorders>
              <w:left w:val="double" w:sz="4" w:space="0" w:color="auto"/>
            </w:tcBorders>
            <w:vAlign w:val="center"/>
          </w:tcPr>
          <w:p w:rsidR="00AA4280" w:rsidRPr="008A74EA" w:rsidRDefault="00AA4280" w:rsidP="00DC2F48">
            <w:pPr>
              <w:jc w:val="right"/>
              <w:rPr>
                <w:rFonts w:asciiTheme="majorHAnsi" w:hAnsiTheme="majorHAnsi" w:cs="Arial"/>
              </w:rPr>
            </w:pPr>
            <w:r w:rsidRPr="008A74EA">
              <w:rPr>
                <w:rFonts w:asciiTheme="majorHAnsi" w:hAnsiTheme="majorHAnsi" w:cs="Arial"/>
                <w:b/>
              </w:rPr>
              <w:t>74,0</w:t>
            </w:r>
          </w:p>
        </w:tc>
        <w:tc>
          <w:tcPr>
            <w:tcW w:w="3721" w:type="dxa"/>
            <w:tcBorders>
              <w:right w:val="double" w:sz="4" w:space="0" w:color="auto"/>
            </w:tcBorders>
            <w:vAlign w:val="center"/>
          </w:tcPr>
          <w:p w:rsidR="00AA4280" w:rsidRPr="008A74EA" w:rsidRDefault="00AA4280" w:rsidP="00DC2F48">
            <w:pPr>
              <w:rPr>
                <w:rFonts w:asciiTheme="majorHAnsi" w:hAnsiTheme="majorHAnsi"/>
              </w:rPr>
            </w:pPr>
            <w:r w:rsidRPr="008A74EA">
              <w:rPr>
                <w:rFonts w:asciiTheme="majorHAnsi" w:hAnsiTheme="majorHAnsi" w:cs="Arial"/>
                <w:sz w:val="16"/>
                <w:szCs w:val="16"/>
              </w:rPr>
              <w:t>Intérêts perçus</w:t>
            </w:r>
          </w:p>
        </w:tc>
        <w:tc>
          <w:tcPr>
            <w:tcW w:w="1134" w:type="dxa"/>
            <w:tcBorders>
              <w:right w:val="double" w:sz="4" w:space="0" w:color="auto"/>
            </w:tcBorders>
            <w:vAlign w:val="center"/>
          </w:tcPr>
          <w:p w:rsidR="00AA4280" w:rsidRPr="008A74EA" w:rsidRDefault="00AA4280" w:rsidP="00DC2F48">
            <w:pPr>
              <w:jc w:val="right"/>
              <w:rPr>
                <w:rFonts w:asciiTheme="majorHAnsi" w:hAnsiTheme="majorHAnsi" w:cs="Arial"/>
              </w:rPr>
            </w:pPr>
            <w:r w:rsidRPr="008A74EA">
              <w:rPr>
                <w:rFonts w:asciiTheme="majorHAnsi" w:hAnsiTheme="majorHAnsi"/>
                <w:b/>
                <w:color w:val="000000"/>
              </w:rPr>
              <w:t>53,7</w:t>
            </w:r>
          </w:p>
        </w:tc>
      </w:tr>
      <w:tr w:rsidR="00AA4280" w:rsidRPr="008A74EA">
        <w:tc>
          <w:tcPr>
            <w:tcW w:w="3756" w:type="dxa"/>
            <w:tcBorders>
              <w:left w:val="double" w:sz="4" w:space="0" w:color="auto"/>
            </w:tcBorders>
            <w:vAlign w:val="center"/>
          </w:tcPr>
          <w:p w:rsidR="00AA4280" w:rsidRPr="008A74EA" w:rsidRDefault="00AA4280" w:rsidP="00670B0E">
            <w:pPr>
              <w:rPr>
                <w:rFonts w:asciiTheme="majorHAnsi" w:hAnsiTheme="majorHAnsi"/>
              </w:rPr>
            </w:pPr>
            <w:r w:rsidRPr="008A74EA">
              <w:rPr>
                <w:rFonts w:asciiTheme="majorHAnsi" w:hAnsiTheme="majorHAnsi" w:cs="Arial"/>
                <w:sz w:val="16"/>
                <w:szCs w:val="16"/>
              </w:rPr>
              <w:t>Revenus distribués des sociétés versés</w:t>
            </w:r>
          </w:p>
        </w:tc>
        <w:tc>
          <w:tcPr>
            <w:tcW w:w="1098" w:type="dxa"/>
            <w:tcBorders>
              <w:left w:val="double" w:sz="4" w:space="0" w:color="auto"/>
            </w:tcBorders>
            <w:vAlign w:val="center"/>
          </w:tcPr>
          <w:p w:rsidR="00AA4280" w:rsidRPr="008A74EA" w:rsidRDefault="00AA4280" w:rsidP="00DC2F48">
            <w:pPr>
              <w:jc w:val="right"/>
              <w:rPr>
                <w:rFonts w:asciiTheme="majorHAnsi" w:hAnsiTheme="majorHAnsi"/>
              </w:rPr>
            </w:pPr>
            <w:r w:rsidRPr="008A74EA">
              <w:rPr>
                <w:rFonts w:asciiTheme="majorHAnsi" w:hAnsiTheme="majorHAnsi" w:cs="Arial"/>
                <w:b/>
              </w:rPr>
              <w:t>234,8</w:t>
            </w:r>
          </w:p>
        </w:tc>
        <w:tc>
          <w:tcPr>
            <w:tcW w:w="3721" w:type="dxa"/>
            <w:tcBorders>
              <w:right w:val="double" w:sz="4" w:space="0" w:color="auto"/>
            </w:tcBorders>
            <w:vAlign w:val="center"/>
          </w:tcPr>
          <w:p w:rsidR="00AA4280" w:rsidRPr="008A74EA" w:rsidRDefault="00AA4280" w:rsidP="00DC2F48">
            <w:pPr>
              <w:rPr>
                <w:rFonts w:asciiTheme="majorHAnsi" w:hAnsiTheme="majorHAnsi"/>
              </w:rPr>
            </w:pPr>
            <w:r w:rsidRPr="008A74EA">
              <w:rPr>
                <w:rFonts w:asciiTheme="majorHAnsi" w:hAnsiTheme="majorHAnsi" w:cs="Arial"/>
                <w:sz w:val="16"/>
                <w:szCs w:val="16"/>
              </w:rPr>
              <w:t>Revenus distribués des sociétés perçus</w:t>
            </w:r>
          </w:p>
        </w:tc>
        <w:tc>
          <w:tcPr>
            <w:tcW w:w="1134" w:type="dxa"/>
            <w:tcBorders>
              <w:right w:val="double" w:sz="4" w:space="0" w:color="auto"/>
            </w:tcBorders>
            <w:vAlign w:val="center"/>
          </w:tcPr>
          <w:p w:rsidR="00AA4280" w:rsidRPr="008A74EA" w:rsidRDefault="00AA4280" w:rsidP="00DC2F48">
            <w:pPr>
              <w:jc w:val="right"/>
              <w:rPr>
                <w:rFonts w:asciiTheme="majorHAnsi" w:hAnsiTheme="majorHAnsi" w:cs="Arial"/>
              </w:rPr>
            </w:pPr>
            <w:r w:rsidRPr="008A74EA">
              <w:rPr>
                <w:rFonts w:asciiTheme="majorHAnsi" w:hAnsiTheme="majorHAnsi"/>
                <w:b/>
                <w:color w:val="000000"/>
              </w:rPr>
              <w:t>150,0</w:t>
            </w:r>
          </w:p>
        </w:tc>
      </w:tr>
      <w:tr w:rsidR="00AA4280" w:rsidRPr="008A74EA">
        <w:tc>
          <w:tcPr>
            <w:tcW w:w="3756" w:type="dxa"/>
            <w:tcBorders>
              <w:left w:val="double" w:sz="4" w:space="0" w:color="auto"/>
              <w:bottom w:val="double" w:sz="4" w:space="0" w:color="auto"/>
            </w:tcBorders>
            <w:vAlign w:val="center"/>
          </w:tcPr>
          <w:p w:rsidR="00AA4280" w:rsidRPr="008A74EA" w:rsidRDefault="00AA4280" w:rsidP="00670B0E">
            <w:pPr>
              <w:rPr>
                <w:rFonts w:asciiTheme="majorHAnsi" w:hAnsiTheme="majorHAnsi"/>
              </w:rPr>
            </w:pPr>
            <w:r w:rsidRPr="008A74EA">
              <w:rPr>
                <w:rFonts w:asciiTheme="majorHAnsi" w:hAnsiTheme="majorHAnsi" w:cs="Arial"/>
                <w:sz w:val="16"/>
                <w:szCs w:val="16"/>
              </w:rPr>
              <w:t>Autres revenus de la propriété versés</w:t>
            </w:r>
          </w:p>
        </w:tc>
        <w:tc>
          <w:tcPr>
            <w:tcW w:w="1098" w:type="dxa"/>
            <w:tcBorders>
              <w:left w:val="double" w:sz="4" w:space="0" w:color="auto"/>
              <w:bottom w:val="double" w:sz="4" w:space="0" w:color="auto"/>
            </w:tcBorders>
          </w:tcPr>
          <w:p w:rsidR="00AA4280" w:rsidRPr="008A74EA" w:rsidRDefault="00AA4280" w:rsidP="00DC2F48">
            <w:pPr>
              <w:jc w:val="right"/>
              <w:rPr>
                <w:rFonts w:asciiTheme="majorHAnsi" w:hAnsiTheme="majorHAnsi"/>
              </w:rPr>
            </w:pPr>
            <w:r w:rsidRPr="008A74EA">
              <w:rPr>
                <w:rFonts w:asciiTheme="majorHAnsi" w:hAnsiTheme="majorHAnsi" w:cs="Arial"/>
                <w:b/>
                <w:bCs/>
              </w:rPr>
              <w:t>9,0</w:t>
            </w:r>
          </w:p>
        </w:tc>
        <w:tc>
          <w:tcPr>
            <w:tcW w:w="3721" w:type="dxa"/>
            <w:tcBorders>
              <w:right w:val="double" w:sz="4" w:space="0" w:color="auto"/>
            </w:tcBorders>
            <w:vAlign w:val="center"/>
          </w:tcPr>
          <w:p w:rsidR="00AA4280" w:rsidRPr="008A74EA" w:rsidRDefault="00AA4280" w:rsidP="00DC2F48">
            <w:pPr>
              <w:rPr>
                <w:rFonts w:asciiTheme="majorHAnsi" w:hAnsiTheme="majorHAnsi"/>
              </w:rPr>
            </w:pPr>
            <w:r w:rsidRPr="008A74EA">
              <w:rPr>
                <w:rFonts w:asciiTheme="majorHAnsi" w:hAnsiTheme="majorHAnsi" w:cs="Arial"/>
                <w:sz w:val="16"/>
                <w:szCs w:val="16"/>
              </w:rPr>
              <w:t>Autres revenus de la propriété perçus</w:t>
            </w:r>
          </w:p>
        </w:tc>
        <w:tc>
          <w:tcPr>
            <w:tcW w:w="1134" w:type="dxa"/>
            <w:tcBorders>
              <w:right w:val="double" w:sz="4" w:space="0" w:color="auto"/>
            </w:tcBorders>
            <w:vAlign w:val="center"/>
          </w:tcPr>
          <w:p w:rsidR="00AA4280" w:rsidRPr="008A74EA" w:rsidRDefault="00AA4280" w:rsidP="00DC2F48">
            <w:pPr>
              <w:jc w:val="right"/>
              <w:rPr>
                <w:rFonts w:asciiTheme="majorHAnsi" w:hAnsiTheme="majorHAnsi"/>
              </w:rPr>
            </w:pPr>
            <w:r w:rsidRPr="008A74EA">
              <w:rPr>
                <w:rFonts w:asciiTheme="majorHAnsi" w:hAnsiTheme="majorHAnsi"/>
                <w:b/>
                <w:color w:val="000000"/>
              </w:rPr>
              <w:t>14,6</w:t>
            </w:r>
          </w:p>
        </w:tc>
      </w:tr>
      <w:tr w:rsidR="00AA4280" w:rsidRPr="008A74EA">
        <w:tc>
          <w:tcPr>
            <w:tcW w:w="3756" w:type="dxa"/>
            <w:tcBorders>
              <w:top w:val="double" w:sz="4" w:space="0" w:color="auto"/>
              <w:left w:val="double" w:sz="4" w:space="0" w:color="auto"/>
              <w:bottom w:val="double" w:sz="4" w:space="0" w:color="auto"/>
            </w:tcBorders>
            <w:vAlign w:val="center"/>
          </w:tcPr>
          <w:p w:rsidR="00AA4280" w:rsidRPr="0081049F" w:rsidRDefault="0081049F" w:rsidP="0081049F">
            <w:pPr>
              <w:rPr>
                <w:rFonts w:asciiTheme="majorHAnsi" w:hAnsiTheme="majorHAnsi"/>
                <w:b/>
                <w:sz w:val="16"/>
                <w:szCs w:val="16"/>
              </w:rPr>
            </w:pPr>
            <w:r w:rsidRPr="0081049F">
              <w:rPr>
                <w:rFonts w:asciiTheme="majorHAnsi" w:hAnsiTheme="majorHAnsi"/>
                <w:b/>
                <w:sz w:val="16"/>
                <w:szCs w:val="16"/>
              </w:rPr>
              <w:t>Solde Brut des Revenus Primaires</w:t>
            </w:r>
          </w:p>
        </w:tc>
        <w:tc>
          <w:tcPr>
            <w:tcW w:w="1098" w:type="dxa"/>
            <w:tcBorders>
              <w:top w:val="double" w:sz="4" w:space="0" w:color="auto"/>
              <w:left w:val="double" w:sz="4" w:space="0" w:color="auto"/>
              <w:bottom w:val="double" w:sz="4" w:space="0" w:color="auto"/>
              <w:right w:val="double" w:sz="4" w:space="0" w:color="auto"/>
            </w:tcBorders>
          </w:tcPr>
          <w:p w:rsidR="00AA4280" w:rsidRPr="008A74EA" w:rsidRDefault="0088396F" w:rsidP="00DC2F48">
            <w:pPr>
              <w:jc w:val="right"/>
              <w:rPr>
                <w:rFonts w:asciiTheme="majorHAnsi" w:hAnsiTheme="majorHAnsi"/>
                <w:b/>
              </w:rPr>
            </w:pPr>
            <w:r>
              <w:rPr>
                <w:rFonts w:asciiTheme="majorHAnsi" w:hAnsiTheme="majorHAnsi"/>
                <w:b/>
              </w:rPr>
              <w:t>194,1</w:t>
            </w:r>
          </w:p>
        </w:tc>
        <w:tc>
          <w:tcPr>
            <w:tcW w:w="3721" w:type="dxa"/>
            <w:tcBorders>
              <w:left w:val="double" w:sz="4" w:space="0" w:color="auto"/>
              <w:bottom w:val="single" w:sz="4" w:space="0" w:color="auto"/>
              <w:right w:val="double" w:sz="4" w:space="0" w:color="auto"/>
            </w:tcBorders>
          </w:tcPr>
          <w:p w:rsidR="00AA4280" w:rsidRPr="008A74EA" w:rsidRDefault="00AA4280" w:rsidP="00DC2F48">
            <w:pPr>
              <w:rPr>
                <w:rFonts w:asciiTheme="majorHAnsi" w:hAnsiTheme="majorHAnsi"/>
              </w:rPr>
            </w:pPr>
          </w:p>
        </w:tc>
        <w:tc>
          <w:tcPr>
            <w:tcW w:w="1134" w:type="dxa"/>
            <w:tcBorders>
              <w:bottom w:val="single" w:sz="4" w:space="0" w:color="auto"/>
              <w:right w:val="double" w:sz="4" w:space="0" w:color="auto"/>
            </w:tcBorders>
          </w:tcPr>
          <w:p w:rsidR="00AA4280" w:rsidRPr="008A74EA" w:rsidRDefault="00AA4280" w:rsidP="00DC2F48">
            <w:pPr>
              <w:jc w:val="right"/>
              <w:rPr>
                <w:rFonts w:asciiTheme="majorHAnsi" w:hAnsiTheme="majorHAnsi"/>
              </w:rPr>
            </w:pPr>
          </w:p>
        </w:tc>
      </w:tr>
    </w:tbl>
    <w:p w:rsidR="00F93AB1" w:rsidRDefault="00F93AB1" w:rsidP="00F93AB1">
      <w:pPr>
        <w:ind w:firstLine="709"/>
        <w:jc w:val="center"/>
        <w:rPr>
          <w:rFonts w:asciiTheme="majorHAnsi" w:hAnsiTheme="majorHAnsi"/>
        </w:rPr>
      </w:pPr>
    </w:p>
    <w:p w:rsidR="00C81D2F" w:rsidRPr="008A74EA" w:rsidRDefault="00C81D2F" w:rsidP="00F93AB1">
      <w:pPr>
        <w:ind w:firstLine="709"/>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56"/>
        <w:gridCol w:w="1098"/>
        <w:gridCol w:w="3721"/>
        <w:gridCol w:w="1134"/>
      </w:tblGrid>
      <w:tr w:rsidR="00F93AB1" w:rsidRPr="008A74EA">
        <w:trPr>
          <w:cantSplit/>
        </w:trPr>
        <w:tc>
          <w:tcPr>
            <w:tcW w:w="9709" w:type="dxa"/>
            <w:gridSpan w:val="4"/>
            <w:tcBorders>
              <w:top w:val="double" w:sz="4" w:space="0" w:color="auto"/>
              <w:left w:val="double" w:sz="4" w:space="0" w:color="auto"/>
              <w:bottom w:val="double" w:sz="4" w:space="0" w:color="auto"/>
              <w:right w:val="double" w:sz="4" w:space="0" w:color="auto"/>
            </w:tcBorders>
          </w:tcPr>
          <w:p w:rsidR="00F93AB1" w:rsidRPr="008A74EA" w:rsidRDefault="00F93AB1" w:rsidP="00F93AB1">
            <w:pPr>
              <w:pStyle w:val="Heading1"/>
              <w:rPr>
                <w:rFonts w:asciiTheme="majorHAnsi" w:hAnsiTheme="majorHAnsi"/>
              </w:rPr>
            </w:pPr>
            <w:r w:rsidRPr="008A74EA">
              <w:rPr>
                <w:rFonts w:asciiTheme="majorHAnsi" w:hAnsiTheme="majorHAnsi"/>
              </w:rPr>
              <w:t>Compte de distribution secondaire du revenu</w:t>
            </w:r>
            <w:r w:rsidR="008A74EA">
              <w:rPr>
                <w:rFonts w:asciiTheme="majorHAnsi" w:hAnsiTheme="majorHAnsi"/>
              </w:rPr>
              <w:t xml:space="preserve"> (N°4)</w:t>
            </w:r>
          </w:p>
        </w:tc>
      </w:tr>
      <w:tr w:rsidR="00F93AB1" w:rsidRPr="008A74EA">
        <w:tc>
          <w:tcPr>
            <w:tcW w:w="3756" w:type="dxa"/>
            <w:tcBorders>
              <w:top w:val="double" w:sz="4" w:space="0" w:color="auto"/>
              <w:left w:val="double" w:sz="4" w:space="0" w:color="auto"/>
            </w:tcBorders>
          </w:tcPr>
          <w:p w:rsidR="00F93AB1" w:rsidRPr="008A74EA" w:rsidRDefault="00F93AB1" w:rsidP="00DC2F48">
            <w:pPr>
              <w:rPr>
                <w:rFonts w:asciiTheme="majorHAnsi" w:hAnsiTheme="majorHAnsi"/>
                <w:b/>
                <w:i/>
              </w:rPr>
            </w:pPr>
            <w:r w:rsidRPr="008A74EA">
              <w:rPr>
                <w:rFonts w:asciiTheme="majorHAnsi" w:hAnsiTheme="majorHAnsi"/>
                <w:b/>
                <w:i/>
              </w:rPr>
              <w:t>Libellé</w:t>
            </w:r>
          </w:p>
        </w:tc>
        <w:tc>
          <w:tcPr>
            <w:tcW w:w="1098" w:type="dxa"/>
            <w:tcBorders>
              <w:top w:val="double" w:sz="4" w:space="0" w:color="auto"/>
              <w:left w:val="double" w:sz="4" w:space="0" w:color="auto"/>
            </w:tcBorders>
          </w:tcPr>
          <w:p w:rsidR="00F93AB1" w:rsidRPr="008A74EA" w:rsidRDefault="00F93AB1" w:rsidP="00DC2F48">
            <w:pPr>
              <w:jc w:val="right"/>
              <w:rPr>
                <w:rFonts w:asciiTheme="majorHAnsi" w:hAnsiTheme="majorHAnsi"/>
                <w:b/>
                <w:i/>
              </w:rPr>
            </w:pPr>
            <w:r w:rsidRPr="008A74EA">
              <w:rPr>
                <w:rFonts w:asciiTheme="majorHAnsi" w:hAnsiTheme="majorHAnsi"/>
                <w:b/>
                <w:i/>
              </w:rPr>
              <w:t>Sommes</w:t>
            </w:r>
          </w:p>
        </w:tc>
        <w:tc>
          <w:tcPr>
            <w:tcW w:w="3721" w:type="dxa"/>
            <w:tcBorders>
              <w:top w:val="double" w:sz="4" w:space="0" w:color="auto"/>
              <w:right w:val="double" w:sz="4" w:space="0" w:color="auto"/>
            </w:tcBorders>
          </w:tcPr>
          <w:p w:rsidR="00F93AB1" w:rsidRPr="008A74EA" w:rsidRDefault="00F93AB1" w:rsidP="00DC2F48">
            <w:pPr>
              <w:rPr>
                <w:rFonts w:asciiTheme="majorHAnsi" w:hAnsiTheme="majorHAnsi"/>
                <w:b/>
                <w:i/>
              </w:rPr>
            </w:pPr>
            <w:r w:rsidRPr="008A74EA">
              <w:rPr>
                <w:rFonts w:asciiTheme="majorHAnsi" w:hAnsiTheme="majorHAnsi"/>
                <w:b/>
                <w:i/>
              </w:rPr>
              <w:t>Libellé</w:t>
            </w:r>
          </w:p>
        </w:tc>
        <w:tc>
          <w:tcPr>
            <w:tcW w:w="1134" w:type="dxa"/>
            <w:tcBorders>
              <w:top w:val="double" w:sz="4" w:space="0" w:color="auto"/>
              <w:right w:val="double" w:sz="4" w:space="0" w:color="auto"/>
            </w:tcBorders>
          </w:tcPr>
          <w:p w:rsidR="00F93AB1" w:rsidRPr="008A74EA" w:rsidRDefault="00F93AB1" w:rsidP="00DC2F48">
            <w:pPr>
              <w:jc w:val="right"/>
              <w:rPr>
                <w:rFonts w:asciiTheme="majorHAnsi" w:hAnsiTheme="majorHAnsi"/>
                <w:b/>
                <w:i/>
              </w:rPr>
            </w:pPr>
            <w:r w:rsidRPr="008A74EA">
              <w:rPr>
                <w:rFonts w:asciiTheme="majorHAnsi" w:hAnsiTheme="majorHAnsi"/>
                <w:b/>
                <w:i/>
              </w:rPr>
              <w:t>Sommes</w:t>
            </w:r>
          </w:p>
        </w:tc>
      </w:tr>
      <w:tr w:rsidR="0081049F" w:rsidRPr="008A74EA">
        <w:tc>
          <w:tcPr>
            <w:tcW w:w="3756" w:type="dxa"/>
            <w:tcBorders>
              <w:left w:val="double" w:sz="4" w:space="0" w:color="auto"/>
            </w:tcBorders>
            <w:vAlign w:val="center"/>
          </w:tcPr>
          <w:p w:rsidR="0081049F" w:rsidRPr="008A74EA" w:rsidRDefault="0081049F" w:rsidP="00DC2F48">
            <w:pPr>
              <w:rPr>
                <w:rFonts w:asciiTheme="majorHAnsi" w:hAnsiTheme="majorHAnsi"/>
              </w:rPr>
            </w:pPr>
            <w:r w:rsidRPr="008A74EA">
              <w:rPr>
                <w:rFonts w:asciiTheme="majorHAnsi" w:hAnsiTheme="majorHAnsi" w:cs="Arial"/>
                <w:sz w:val="16"/>
                <w:szCs w:val="16"/>
              </w:rPr>
              <w:t>Impôts courants sur le revenu et le patrimoine</w:t>
            </w:r>
          </w:p>
        </w:tc>
        <w:tc>
          <w:tcPr>
            <w:tcW w:w="1098" w:type="dxa"/>
            <w:tcBorders>
              <w:left w:val="double" w:sz="4" w:space="0" w:color="auto"/>
            </w:tcBorders>
            <w:vAlign w:val="center"/>
          </w:tcPr>
          <w:p w:rsidR="0081049F" w:rsidRPr="008A74EA" w:rsidRDefault="0081049F" w:rsidP="00DC2F48">
            <w:pPr>
              <w:jc w:val="right"/>
              <w:rPr>
                <w:rFonts w:asciiTheme="majorHAnsi" w:hAnsiTheme="majorHAnsi" w:cs="Arial"/>
              </w:rPr>
            </w:pPr>
            <w:r w:rsidRPr="008A74EA">
              <w:rPr>
                <w:rFonts w:asciiTheme="majorHAnsi" w:hAnsiTheme="majorHAnsi" w:cs="Arial"/>
                <w:b/>
              </w:rPr>
              <w:t>26,4</w:t>
            </w:r>
          </w:p>
        </w:tc>
        <w:tc>
          <w:tcPr>
            <w:tcW w:w="3721" w:type="dxa"/>
            <w:tcBorders>
              <w:right w:val="double" w:sz="4" w:space="0" w:color="auto"/>
            </w:tcBorders>
            <w:vAlign w:val="center"/>
          </w:tcPr>
          <w:p w:rsidR="0081049F" w:rsidRPr="0081049F" w:rsidRDefault="0081049F" w:rsidP="00670B0E">
            <w:pPr>
              <w:rPr>
                <w:rFonts w:asciiTheme="majorHAnsi" w:hAnsiTheme="majorHAnsi"/>
                <w:b/>
                <w:sz w:val="16"/>
                <w:szCs w:val="16"/>
              </w:rPr>
            </w:pPr>
            <w:r w:rsidRPr="0081049F">
              <w:rPr>
                <w:rFonts w:asciiTheme="majorHAnsi" w:hAnsiTheme="majorHAnsi"/>
                <w:b/>
                <w:sz w:val="16"/>
                <w:szCs w:val="16"/>
              </w:rPr>
              <w:t>Solde Brut des Revenus Primaires</w:t>
            </w:r>
          </w:p>
        </w:tc>
        <w:tc>
          <w:tcPr>
            <w:tcW w:w="1134" w:type="dxa"/>
            <w:tcBorders>
              <w:right w:val="double" w:sz="4" w:space="0" w:color="auto"/>
            </w:tcBorders>
          </w:tcPr>
          <w:p w:rsidR="0081049F" w:rsidRPr="008A74EA" w:rsidRDefault="0088396F" w:rsidP="00DC2F48">
            <w:pPr>
              <w:jc w:val="right"/>
              <w:rPr>
                <w:rFonts w:asciiTheme="majorHAnsi" w:hAnsiTheme="majorHAnsi"/>
                <w:b/>
              </w:rPr>
            </w:pPr>
            <w:r>
              <w:rPr>
                <w:rFonts w:asciiTheme="majorHAnsi" w:hAnsiTheme="majorHAnsi"/>
                <w:b/>
              </w:rPr>
              <w:t>194,1</w:t>
            </w:r>
          </w:p>
        </w:tc>
      </w:tr>
      <w:tr w:rsidR="0081049F" w:rsidRPr="008A74EA">
        <w:tc>
          <w:tcPr>
            <w:tcW w:w="3756" w:type="dxa"/>
            <w:tcBorders>
              <w:left w:val="double" w:sz="4" w:space="0" w:color="auto"/>
            </w:tcBorders>
            <w:vAlign w:val="center"/>
          </w:tcPr>
          <w:p w:rsidR="0081049F" w:rsidRPr="008A74EA" w:rsidRDefault="0081049F" w:rsidP="00DC2F48">
            <w:pPr>
              <w:rPr>
                <w:rFonts w:asciiTheme="majorHAnsi" w:hAnsiTheme="majorHAnsi"/>
              </w:rPr>
            </w:pPr>
            <w:r w:rsidRPr="008A74EA">
              <w:rPr>
                <w:rFonts w:asciiTheme="majorHAnsi" w:hAnsiTheme="majorHAnsi" w:cs="Arial"/>
                <w:sz w:val="16"/>
                <w:szCs w:val="16"/>
              </w:rPr>
              <w:t>Primes nettes d'assurance dommage</w:t>
            </w:r>
          </w:p>
        </w:tc>
        <w:tc>
          <w:tcPr>
            <w:tcW w:w="1098" w:type="dxa"/>
            <w:tcBorders>
              <w:left w:val="double" w:sz="4" w:space="0" w:color="auto"/>
            </w:tcBorders>
            <w:vAlign w:val="center"/>
          </w:tcPr>
          <w:p w:rsidR="0081049F" w:rsidRPr="008A74EA" w:rsidRDefault="0081049F" w:rsidP="00DC2F48">
            <w:pPr>
              <w:jc w:val="right"/>
              <w:rPr>
                <w:rFonts w:asciiTheme="majorHAnsi" w:hAnsiTheme="majorHAnsi" w:cs="Arial"/>
              </w:rPr>
            </w:pPr>
            <w:r w:rsidRPr="008A74EA">
              <w:rPr>
                <w:rFonts w:asciiTheme="majorHAnsi" w:hAnsiTheme="majorHAnsi" w:cs="Arial"/>
                <w:b/>
              </w:rPr>
              <w:t>9,0</w:t>
            </w:r>
          </w:p>
        </w:tc>
        <w:tc>
          <w:tcPr>
            <w:tcW w:w="3721" w:type="dxa"/>
            <w:tcBorders>
              <w:right w:val="double" w:sz="4" w:space="0" w:color="auto"/>
            </w:tcBorders>
            <w:vAlign w:val="center"/>
          </w:tcPr>
          <w:p w:rsidR="0081049F" w:rsidRPr="008A74EA" w:rsidRDefault="0081049F" w:rsidP="00DC2F48">
            <w:pPr>
              <w:rPr>
                <w:rFonts w:asciiTheme="majorHAnsi" w:hAnsiTheme="majorHAnsi"/>
              </w:rPr>
            </w:pPr>
            <w:r w:rsidRPr="008A74EA">
              <w:rPr>
                <w:rFonts w:asciiTheme="majorHAnsi" w:hAnsiTheme="majorHAnsi" w:cs="Arial"/>
                <w:sz w:val="16"/>
                <w:szCs w:val="16"/>
              </w:rPr>
              <w:t>Indemnités d'assurance dommage</w:t>
            </w:r>
          </w:p>
        </w:tc>
        <w:tc>
          <w:tcPr>
            <w:tcW w:w="1134" w:type="dxa"/>
            <w:tcBorders>
              <w:right w:val="double" w:sz="4" w:space="0" w:color="auto"/>
            </w:tcBorders>
            <w:vAlign w:val="center"/>
          </w:tcPr>
          <w:p w:rsidR="0081049F" w:rsidRPr="008A74EA" w:rsidRDefault="0081049F" w:rsidP="00DC2F48">
            <w:pPr>
              <w:jc w:val="right"/>
              <w:rPr>
                <w:rFonts w:asciiTheme="majorHAnsi" w:hAnsiTheme="majorHAnsi" w:cs="Arial"/>
              </w:rPr>
            </w:pPr>
            <w:r w:rsidRPr="008A74EA">
              <w:rPr>
                <w:rFonts w:asciiTheme="majorHAnsi" w:hAnsiTheme="majorHAnsi"/>
                <w:b/>
                <w:color w:val="000000"/>
              </w:rPr>
              <w:t>4,8</w:t>
            </w:r>
          </w:p>
        </w:tc>
      </w:tr>
      <w:tr w:rsidR="0081049F" w:rsidRPr="008A74EA">
        <w:tc>
          <w:tcPr>
            <w:tcW w:w="3756" w:type="dxa"/>
            <w:tcBorders>
              <w:left w:val="double" w:sz="4" w:space="0" w:color="auto"/>
            </w:tcBorders>
            <w:vAlign w:val="center"/>
          </w:tcPr>
          <w:p w:rsidR="0081049F" w:rsidRPr="008A74EA" w:rsidRDefault="0081049F" w:rsidP="00DC2F48">
            <w:pPr>
              <w:rPr>
                <w:rFonts w:asciiTheme="majorHAnsi" w:hAnsiTheme="majorHAnsi"/>
              </w:rPr>
            </w:pPr>
            <w:r w:rsidRPr="008A74EA">
              <w:rPr>
                <w:rFonts w:asciiTheme="majorHAnsi" w:hAnsiTheme="majorHAnsi" w:cs="Arial"/>
                <w:color w:val="000000"/>
                <w:sz w:val="16"/>
                <w:szCs w:val="16"/>
              </w:rPr>
              <w:t>Prestations sociales en espèces versées</w:t>
            </w:r>
          </w:p>
        </w:tc>
        <w:tc>
          <w:tcPr>
            <w:tcW w:w="1098" w:type="dxa"/>
            <w:tcBorders>
              <w:left w:val="double" w:sz="4" w:space="0" w:color="auto"/>
            </w:tcBorders>
            <w:vAlign w:val="center"/>
          </w:tcPr>
          <w:p w:rsidR="0081049F" w:rsidRPr="008A74EA" w:rsidRDefault="0081049F" w:rsidP="00DC2F48">
            <w:pPr>
              <w:jc w:val="right"/>
              <w:rPr>
                <w:rFonts w:asciiTheme="majorHAnsi" w:hAnsiTheme="majorHAnsi" w:cs="Arial"/>
              </w:rPr>
            </w:pPr>
            <w:r w:rsidRPr="008A74EA">
              <w:rPr>
                <w:rFonts w:asciiTheme="majorHAnsi" w:hAnsiTheme="majorHAnsi" w:cs="Arial"/>
                <w:b/>
              </w:rPr>
              <w:t>11,4</w:t>
            </w:r>
          </w:p>
        </w:tc>
        <w:tc>
          <w:tcPr>
            <w:tcW w:w="3721" w:type="dxa"/>
            <w:tcBorders>
              <w:right w:val="double" w:sz="4" w:space="0" w:color="auto"/>
            </w:tcBorders>
            <w:vAlign w:val="center"/>
          </w:tcPr>
          <w:p w:rsidR="0081049F" w:rsidRPr="008A74EA" w:rsidRDefault="0081049F" w:rsidP="00DC2F48">
            <w:pPr>
              <w:rPr>
                <w:rFonts w:asciiTheme="majorHAnsi" w:hAnsiTheme="majorHAnsi"/>
              </w:rPr>
            </w:pPr>
            <w:r w:rsidRPr="008A74EA">
              <w:rPr>
                <w:rFonts w:asciiTheme="majorHAnsi" w:hAnsiTheme="majorHAnsi" w:cs="Arial"/>
                <w:sz w:val="16"/>
                <w:szCs w:val="16"/>
              </w:rPr>
              <w:t>Cotisations sociales perçues</w:t>
            </w:r>
          </w:p>
        </w:tc>
        <w:tc>
          <w:tcPr>
            <w:tcW w:w="1134" w:type="dxa"/>
            <w:tcBorders>
              <w:right w:val="double" w:sz="4" w:space="0" w:color="auto"/>
            </w:tcBorders>
            <w:vAlign w:val="center"/>
          </w:tcPr>
          <w:p w:rsidR="0081049F" w:rsidRPr="008A74EA" w:rsidRDefault="0081049F" w:rsidP="00DC2F48">
            <w:pPr>
              <w:jc w:val="right"/>
              <w:rPr>
                <w:rFonts w:asciiTheme="majorHAnsi" w:hAnsiTheme="majorHAnsi" w:cs="Arial"/>
              </w:rPr>
            </w:pPr>
            <w:r w:rsidRPr="008A74EA">
              <w:rPr>
                <w:rFonts w:asciiTheme="majorHAnsi" w:hAnsiTheme="majorHAnsi"/>
                <w:b/>
                <w:color w:val="000000"/>
              </w:rPr>
              <w:t>11,6</w:t>
            </w:r>
          </w:p>
        </w:tc>
      </w:tr>
      <w:tr w:rsidR="0081049F" w:rsidRPr="008A74EA">
        <w:tc>
          <w:tcPr>
            <w:tcW w:w="3756" w:type="dxa"/>
            <w:tcBorders>
              <w:left w:val="double" w:sz="4" w:space="0" w:color="auto"/>
              <w:bottom w:val="double" w:sz="4" w:space="0" w:color="auto"/>
            </w:tcBorders>
            <w:vAlign w:val="center"/>
          </w:tcPr>
          <w:p w:rsidR="0081049F" w:rsidRPr="008A74EA" w:rsidRDefault="0081049F" w:rsidP="00DC2F48">
            <w:pPr>
              <w:rPr>
                <w:rFonts w:asciiTheme="majorHAnsi" w:hAnsiTheme="majorHAnsi"/>
              </w:rPr>
            </w:pPr>
            <w:r w:rsidRPr="008A74EA">
              <w:rPr>
                <w:rFonts w:asciiTheme="majorHAnsi" w:hAnsiTheme="majorHAnsi" w:cs="Arial"/>
                <w:sz w:val="16"/>
                <w:szCs w:val="16"/>
              </w:rPr>
              <w:t>Transferts courants divers versés</w:t>
            </w:r>
          </w:p>
        </w:tc>
        <w:tc>
          <w:tcPr>
            <w:tcW w:w="1098" w:type="dxa"/>
            <w:tcBorders>
              <w:left w:val="double" w:sz="4" w:space="0" w:color="auto"/>
              <w:bottom w:val="double" w:sz="4" w:space="0" w:color="auto"/>
            </w:tcBorders>
            <w:vAlign w:val="center"/>
          </w:tcPr>
          <w:p w:rsidR="0081049F" w:rsidRPr="008A74EA" w:rsidRDefault="0081049F" w:rsidP="00DC2F48">
            <w:pPr>
              <w:jc w:val="right"/>
              <w:rPr>
                <w:rFonts w:asciiTheme="majorHAnsi" w:hAnsiTheme="majorHAnsi" w:cs="Arial"/>
              </w:rPr>
            </w:pPr>
            <w:r w:rsidRPr="008A74EA">
              <w:rPr>
                <w:rFonts w:asciiTheme="majorHAnsi" w:hAnsiTheme="majorHAnsi" w:cs="Arial"/>
                <w:b/>
              </w:rPr>
              <w:t>27,2</w:t>
            </w:r>
          </w:p>
        </w:tc>
        <w:tc>
          <w:tcPr>
            <w:tcW w:w="3721" w:type="dxa"/>
            <w:tcBorders>
              <w:right w:val="double" w:sz="4" w:space="0" w:color="auto"/>
            </w:tcBorders>
            <w:vAlign w:val="center"/>
          </w:tcPr>
          <w:p w:rsidR="0081049F" w:rsidRPr="008A74EA" w:rsidRDefault="0081049F" w:rsidP="00DC2F48">
            <w:pPr>
              <w:rPr>
                <w:rFonts w:asciiTheme="majorHAnsi" w:hAnsiTheme="majorHAnsi"/>
              </w:rPr>
            </w:pPr>
            <w:r w:rsidRPr="008A74EA">
              <w:rPr>
                <w:rFonts w:asciiTheme="majorHAnsi" w:hAnsiTheme="majorHAnsi" w:cs="Arial"/>
                <w:sz w:val="16"/>
                <w:szCs w:val="16"/>
              </w:rPr>
              <w:t>Transferts courants divers perçus</w:t>
            </w:r>
          </w:p>
        </w:tc>
        <w:tc>
          <w:tcPr>
            <w:tcW w:w="1134" w:type="dxa"/>
            <w:tcBorders>
              <w:right w:val="double" w:sz="4" w:space="0" w:color="auto"/>
            </w:tcBorders>
            <w:vAlign w:val="center"/>
          </w:tcPr>
          <w:p w:rsidR="0081049F" w:rsidRPr="008A74EA" w:rsidRDefault="0081049F" w:rsidP="00DC2F48">
            <w:pPr>
              <w:jc w:val="right"/>
              <w:rPr>
                <w:rFonts w:asciiTheme="majorHAnsi" w:hAnsiTheme="majorHAnsi" w:cs="Arial"/>
              </w:rPr>
            </w:pPr>
            <w:r w:rsidRPr="008A74EA">
              <w:rPr>
                <w:rFonts w:asciiTheme="majorHAnsi" w:hAnsiTheme="majorHAnsi"/>
                <w:b/>
                <w:color w:val="000000"/>
              </w:rPr>
              <w:t>6,5</w:t>
            </w:r>
          </w:p>
        </w:tc>
      </w:tr>
      <w:tr w:rsidR="0081049F" w:rsidRPr="008A74EA">
        <w:tc>
          <w:tcPr>
            <w:tcW w:w="3756" w:type="dxa"/>
            <w:tcBorders>
              <w:top w:val="double" w:sz="4" w:space="0" w:color="auto"/>
              <w:left w:val="double" w:sz="4" w:space="0" w:color="auto"/>
              <w:bottom w:val="double" w:sz="4" w:space="0" w:color="auto"/>
            </w:tcBorders>
            <w:vAlign w:val="center"/>
          </w:tcPr>
          <w:p w:rsidR="0081049F" w:rsidRPr="0081049F" w:rsidRDefault="0081049F" w:rsidP="0081049F">
            <w:pPr>
              <w:rPr>
                <w:rFonts w:asciiTheme="majorHAnsi" w:hAnsiTheme="majorHAnsi"/>
                <w:b/>
                <w:sz w:val="16"/>
                <w:szCs w:val="16"/>
              </w:rPr>
            </w:pPr>
            <w:r w:rsidRPr="0081049F">
              <w:rPr>
                <w:rFonts w:asciiTheme="majorHAnsi" w:hAnsiTheme="majorHAnsi"/>
                <w:b/>
                <w:sz w:val="16"/>
                <w:szCs w:val="16"/>
              </w:rPr>
              <w:t>Revenu Disponible Brut</w:t>
            </w:r>
          </w:p>
        </w:tc>
        <w:tc>
          <w:tcPr>
            <w:tcW w:w="1098" w:type="dxa"/>
            <w:tcBorders>
              <w:top w:val="double" w:sz="4" w:space="0" w:color="auto"/>
              <w:left w:val="double" w:sz="4" w:space="0" w:color="auto"/>
              <w:bottom w:val="double" w:sz="4" w:space="0" w:color="auto"/>
              <w:right w:val="double" w:sz="4" w:space="0" w:color="auto"/>
            </w:tcBorders>
          </w:tcPr>
          <w:p w:rsidR="0081049F" w:rsidRPr="008A74EA" w:rsidRDefault="0088396F" w:rsidP="00DC2F48">
            <w:pPr>
              <w:jc w:val="right"/>
              <w:rPr>
                <w:rFonts w:asciiTheme="majorHAnsi" w:hAnsiTheme="majorHAnsi"/>
                <w:b/>
              </w:rPr>
            </w:pPr>
            <w:r>
              <w:rPr>
                <w:rFonts w:asciiTheme="majorHAnsi" w:hAnsiTheme="majorHAnsi"/>
                <w:b/>
              </w:rPr>
              <w:t>143,0</w:t>
            </w:r>
          </w:p>
        </w:tc>
        <w:tc>
          <w:tcPr>
            <w:tcW w:w="3721" w:type="dxa"/>
            <w:tcBorders>
              <w:left w:val="double" w:sz="4" w:space="0" w:color="auto"/>
              <w:bottom w:val="double" w:sz="4" w:space="0" w:color="auto"/>
              <w:right w:val="double" w:sz="4" w:space="0" w:color="auto"/>
            </w:tcBorders>
            <w:vAlign w:val="center"/>
          </w:tcPr>
          <w:p w:rsidR="0081049F" w:rsidRPr="008A74EA" w:rsidRDefault="0081049F" w:rsidP="00DC2F48">
            <w:pPr>
              <w:rPr>
                <w:rFonts w:asciiTheme="majorHAnsi" w:hAnsiTheme="majorHAnsi"/>
              </w:rPr>
            </w:pPr>
          </w:p>
        </w:tc>
        <w:tc>
          <w:tcPr>
            <w:tcW w:w="1134" w:type="dxa"/>
            <w:tcBorders>
              <w:bottom w:val="double" w:sz="4" w:space="0" w:color="auto"/>
              <w:right w:val="double" w:sz="4" w:space="0" w:color="auto"/>
            </w:tcBorders>
            <w:vAlign w:val="center"/>
          </w:tcPr>
          <w:p w:rsidR="0081049F" w:rsidRPr="008A74EA" w:rsidRDefault="0081049F" w:rsidP="00DC2F48">
            <w:pPr>
              <w:jc w:val="right"/>
              <w:rPr>
                <w:rFonts w:asciiTheme="majorHAnsi" w:hAnsiTheme="majorHAnsi" w:cs="Arial"/>
              </w:rPr>
            </w:pPr>
          </w:p>
        </w:tc>
      </w:tr>
    </w:tbl>
    <w:p w:rsidR="00F93AB1" w:rsidRDefault="00F93AB1" w:rsidP="00F93AB1">
      <w:pPr>
        <w:ind w:firstLine="709"/>
        <w:jc w:val="center"/>
        <w:rPr>
          <w:rFonts w:asciiTheme="majorHAnsi" w:hAnsiTheme="majorHAnsi"/>
        </w:rPr>
      </w:pPr>
    </w:p>
    <w:p w:rsidR="00C81D2F" w:rsidRPr="008A74EA" w:rsidRDefault="00C81D2F" w:rsidP="00F93AB1">
      <w:pPr>
        <w:ind w:firstLine="709"/>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56"/>
        <w:gridCol w:w="1098"/>
        <w:gridCol w:w="3721"/>
        <w:gridCol w:w="1134"/>
      </w:tblGrid>
      <w:tr w:rsidR="00F93AB1" w:rsidRPr="008A74EA">
        <w:trPr>
          <w:cantSplit/>
        </w:trPr>
        <w:tc>
          <w:tcPr>
            <w:tcW w:w="9709" w:type="dxa"/>
            <w:gridSpan w:val="4"/>
            <w:tcBorders>
              <w:top w:val="double" w:sz="4" w:space="0" w:color="auto"/>
              <w:left w:val="double" w:sz="4" w:space="0" w:color="auto"/>
              <w:bottom w:val="double" w:sz="4" w:space="0" w:color="auto"/>
              <w:right w:val="double" w:sz="4" w:space="0" w:color="auto"/>
            </w:tcBorders>
          </w:tcPr>
          <w:p w:rsidR="00F93AB1" w:rsidRPr="008A74EA" w:rsidRDefault="00F93AB1" w:rsidP="00F93AB1">
            <w:pPr>
              <w:pStyle w:val="Heading1"/>
              <w:rPr>
                <w:rFonts w:asciiTheme="majorHAnsi" w:hAnsiTheme="majorHAnsi"/>
              </w:rPr>
            </w:pPr>
            <w:r w:rsidRPr="008A74EA">
              <w:rPr>
                <w:rFonts w:asciiTheme="majorHAnsi" w:hAnsiTheme="majorHAnsi"/>
              </w:rPr>
              <w:t>Compte d’utilisation du revenu</w:t>
            </w:r>
            <w:r w:rsidR="008A74EA">
              <w:rPr>
                <w:rFonts w:asciiTheme="majorHAnsi" w:hAnsiTheme="majorHAnsi"/>
              </w:rPr>
              <w:t xml:space="preserve"> (N°5)</w:t>
            </w:r>
          </w:p>
        </w:tc>
      </w:tr>
      <w:tr w:rsidR="00F93AB1" w:rsidRPr="008A74EA">
        <w:tc>
          <w:tcPr>
            <w:tcW w:w="3756" w:type="dxa"/>
            <w:tcBorders>
              <w:top w:val="double" w:sz="4" w:space="0" w:color="auto"/>
              <w:left w:val="double" w:sz="4" w:space="0" w:color="auto"/>
              <w:bottom w:val="double" w:sz="4" w:space="0" w:color="auto"/>
            </w:tcBorders>
          </w:tcPr>
          <w:p w:rsidR="00F93AB1" w:rsidRPr="008A74EA" w:rsidRDefault="00F93AB1" w:rsidP="00DC2F48">
            <w:pPr>
              <w:rPr>
                <w:rFonts w:asciiTheme="majorHAnsi" w:hAnsiTheme="majorHAnsi"/>
                <w:b/>
                <w:i/>
              </w:rPr>
            </w:pPr>
            <w:r w:rsidRPr="008A74EA">
              <w:rPr>
                <w:rFonts w:asciiTheme="majorHAnsi" w:hAnsiTheme="majorHAnsi"/>
                <w:b/>
                <w:i/>
              </w:rPr>
              <w:t>Libellé</w:t>
            </w:r>
          </w:p>
        </w:tc>
        <w:tc>
          <w:tcPr>
            <w:tcW w:w="1098" w:type="dxa"/>
            <w:tcBorders>
              <w:top w:val="double" w:sz="4" w:space="0" w:color="auto"/>
              <w:left w:val="double" w:sz="4" w:space="0" w:color="auto"/>
              <w:bottom w:val="double" w:sz="4" w:space="0" w:color="auto"/>
            </w:tcBorders>
          </w:tcPr>
          <w:p w:rsidR="00F93AB1" w:rsidRPr="008A74EA" w:rsidRDefault="00F93AB1" w:rsidP="00DC2F48">
            <w:pPr>
              <w:jc w:val="right"/>
              <w:rPr>
                <w:rFonts w:asciiTheme="majorHAnsi" w:hAnsiTheme="majorHAnsi"/>
                <w:b/>
                <w:i/>
              </w:rPr>
            </w:pPr>
            <w:r w:rsidRPr="008A74EA">
              <w:rPr>
                <w:rFonts w:asciiTheme="majorHAnsi" w:hAnsiTheme="majorHAnsi"/>
                <w:b/>
                <w:i/>
              </w:rPr>
              <w:t>Sommes</w:t>
            </w:r>
          </w:p>
        </w:tc>
        <w:tc>
          <w:tcPr>
            <w:tcW w:w="3721" w:type="dxa"/>
            <w:tcBorders>
              <w:top w:val="double" w:sz="4" w:space="0" w:color="auto"/>
              <w:right w:val="double" w:sz="4" w:space="0" w:color="auto"/>
            </w:tcBorders>
          </w:tcPr>
          <w:p w:rsidR="00F93AB1" w:rsidRPr="008A74EA" w:rsidRDefault="00F93AB1" w:rsidP="00DC2F48">
            <w:pPr>
              <w:rPr>
                <w:rFonts w:asciiTheme="majorHAnsi" w:hAnsiTheme="majorHAnsi"/>
                <w:b/>
                <w:i/>
              </w:rPr>
            </w:pPr>
            <w:r w:rsidRPr="008A74EA">
              <w:rPr>
                <w:rFonts w:asciiTheme="majorHAnsi" w:hAnsiTheme="majorHAnsi"/>
                <w:b/>
                <w:i/>
              </w:rPr>
              <w:t>Libellé</w:t>
            </w:r>
          </w:p>
        </w:tc>
        <w:tc>
          <w:tcPr>
            <w:tcW w:w="1134" w:type="dxa"/>
            <w:tcBorders>
              <w:top w:val="double" w:sz="4" w:space="0" w:color="auto"/>
              <w:right w:val="double" w:sz="4" w:space="0" w:color="auto"/>
            </w:tcBorders>
          </w:tcPr>
          <w:p w:rsidR="00F93AB1" w:rsidRPr="008A74EA" w:rsidRDefault="00F93AB1" w:rsidP="00DC2F48">
            <w:pPr>
              <w:jc w:val="right"/>
              <w:rPr>
                <w:rFonts w:asciiTheme="majorHAnsi" w:hAnsiTheme="majorHAnsi"/>
                <w:b/>
                <w:i/>
              </w:rPr>
            </w:pPr>
            <w:r w:rsidRPr="008A74EA">
              <w:rPr>
                <w:rFonts w:asciiTheme="majorHAnsi" w:hAnsiTheme="majorHAnsi"/>
                <w:b/>
                <w:i/>
              </w:rPr>
              <w:t>Sommes</w:t>
            </w:r>
          </w:p>
        </w:tc>
      </w:tr>
      <w:tr w:rsidR="00F93AB1" w:rsidRPr="008A74EA">
        <w:tc>
          <w:tcPr>
            <w:tcW w:w="3756" w:type="dxa"/>
            <w:tcBorders>
              <w:top w:val="double" w:sz="4" w:space="0" w:color="auto"/>
              <w:left w:val="double" w:sz="4" w:space="0" w:color="auto"/>
              <w:bottom w:val="double" w:sz="4" w:space="0" w:color="auto"/>
            </w:tcBorders>
            <w:vAlign w:val="center"/>
          </w:tcPr>
          <w:p w:rsidR="00F93AB1" w:rsidRPr="00AA4280" w:rsidRDefault="00AA4280" w:rsidP="00AA4280">
            <w:pPr>
              <w:rPr>
                <w:rFonts w:asciiTheme="majorHAnsi" w:hAnsiTheme="majorHAnsi"/>
                <w:sz w:val="16"/>
                <w:szCs w:val="16"/>
              </w:rPr>
            </w:pPr>
            <w:r w:rsidRPr="00AA4280">
              <w:rPr>
                <w:rFonts w:asciiTheme="majorHAnsi" w:hAnsiTheme="majorHAnsi"/>
                <w:sz w:val="16"/>
                <w:szCs w:val="16"/>
              </w:rPr>
              <w:t>Consommation finale</w:t>
            </w:r>
          </w:p>
        </w:tc>
        <w:tc>
          <w:tcPr>
            <w:tcW w:w="1098" w:type="dxa"/>
            <w:tcBorders>
              <w:top w:val="double" w:sz="4" w:space="0" w:color="auto"/>
              <w:left w:val="double" w:sz="4" w:space="0" w:color="auto"/>
              <w:bottom w:val="double" w:sz="4" w:space="0" w:color="auto"/>
            </w:tcBorders>
          </w:tcPr>
          <w:p w:rsidR="00F93AB1" w:rsidRPr="008A74EA" w:rsidRDefault="00AA4280" w:rsidP="00DC2F48">
            <w:pPr>
              <w:jc w:val="right"/>
              <w:rPr>
                <w:rFonts w:asciiTheme="majorHAnsi" w:hAnsiTheme="majorHAnsi"/>
              </w:rPr>
            </w:pPr>
            <w:r>
              <w:rPr>
                <w:rFonts w:asciiTheme="majorHAnsi" w:hAnsiTheme="majorHAnsi"/>
              </w:rPr>
              <w:t>0,0</w:t>
            </w:r>
          </w:p>
        </w:tc>
        <w:tc>
          <w:tcPr>
            <w:tcW w:w="3721" w:type="dxa"/>
            <w:tcBorders>
              <w:top w:val="double" w:sz="4" w:space="0" w:color="auto"/>
              <w:right w:val="double" w:sz="4" w:space="0" w:color="auto"/>
            </w:tcBorders>
            <w:vAlign w:val="center"/>
          </w:tcPr>
          <w:p w:rsidR="00F93AB1" w:rsidRPr="0081049F" w:rsidRDefault="00AA4280" w:rsidP="00AA4280">
            <w:pPr>
              <w:rPr>
                <w:rFonts w:asciiTheme="majorHAnsi" w:hAnsiTheme="majorHAnsi"/>
                <w:b/>
                <w:sz w:val="16"/>
                <w:szCs w:val="16"/>
              </w:rPr>
            </w:pPr>
            <w:r w:rsidRPr="0081049F">
              <w:rPr>
                <w:rFonts w:asciiTheme="majorHAnsi" w:hAnsiTheme="majorHAnsi"/>
                <w:b/>
                <w:sz w:val="16"/>
                <w:szCs w:val="16"/>
              </w:rPr>
              <w:t>Revenu Disponible Brut</w:t>
            </w:r>
          </w:p>
        </w:tc>
        <w:tc>
          <w:tcPr>
            <w:tcW w:w="1134" w:type="dxa"/>
            <w:tcBorders>
              <w:top w:val="double" w:sz="4" w:space="0" w:color="auto"/>
              <w:right w:val="double" w:sz="4" w:space="0" w:color="auto"/>
            </w:tcBorders>
          </w:tcPr>
          <w:p w:rsidR="00F93AB1" w:rsidRPr="008A74EA" w:rsidRDefault="0088396F" w:rsidP="00DC2F48">
            <w:pPr>
              <w:jc w:val="right"/>
              <w:rPr>
                <w:rFonts w:asciiTheme="majorHAnsi" w:hAnsiTheme="majorHAnsi"/>
                <w:b/>
              </w:rPr>
            </w:pPr>
            <w:r>
              <w:rPr>
                <w:rFonts w:asciiTheme="majorHAnsi" w:hAnsiTheme="majorHAnsi"/>
                <w:b/>
              </w:rPr>
              <w:t>143,0</w:t>
            </w:r>
          </w:p>
        </w:tc>
      </w:tr>
      <w:tr w:rsidR="00F93AB1" w:rsidRPr="008A74EA">
        <w:tc>
          <w:tcPr>
            <w:tcW w:w="3756" w:type="dxa"/>
            <w:tcBorders>
              <w:top w:val="double" w:sz="4" w:space="0" w:color="auto"/>
              <w:left w:val="double" w:sz="4" w:space="0" w:color="auto"/>
              <w:bottom w:val="double" w:sz="4" w:space="0" w:color="auto"/>
            </w:tcBorders>
            <w:vAlign w:val="center"/>
          </w:tcPr>
          <w:p w:rsidR="00F93AB1" w:rsidRPr="002E4FA3" w:rsidRDefault="002E4FA3" w:rsidP="002E4FA3">
            <w:pPr>
              <w:rPr>
                <w:rFonts w:asciiTheme="majorHAnsi" w:hAnsiTheme="majorHAnsi"/>
                <w:b/>
                <w:sz w:val="16"/>
                <w:szCs w:val="16"/>
              </w:rPr>
            </w:pPr>
            <w:r w:rsidRPr="002E4FA3">
              <w:rPr>
                <w:rFonts w:asciiTheme="majorHAnsi" w:hAnsiTheme="majorHAnsi"/>
                <w:b/>
                <w:sz w:val="16"/>
                <w:szCs w:val="16"/>
              </w:rPr>
              <w:t>Epargne Brute</w:t>
            </w:r>
          </w:p>
        </w:tc>
        <w:tc>
          <w:tcPr>
            <w:tcW w:w="1098" w:type="dxa"/>
            <w:tcBorders>
              <w:top w:val="double" w:sz="4" w:space="0" w:color="auto"/>
              <w:left w:val="double" w:sz="4" w:space="0" w:color="auto"/>
              <w:bottom w:val="double" w:sz="4" w:space="0" w:color="auto"/>
              <w:right w:val="double" w:sz="4" w:space="0" w:color="auto"/>
            </w:tcBorders>
          </w:tcPr>
          <w:p w:rsidR="00F93AB1" w:rsidRPr="008A74EA" w:rsidRDefault="0088396F" w:rsidP="00DC2F48">
            <w:pPr>
              <w:jc w:val="right"/>
              <w:rPr>
                <w:rFonts w:asciiTheme="majorHAnsi" w:hAnsiTheme="majorHAnsi"/>
                <w:b/>
              </w:rPr>
            </w:pPr>
            <w:r>
              <w:rPr>
                <w:rFonts w:asciiTheme="majorHAnsi" w:hAnsiTheme="majorHAnsi"/>
                <w:b/>
              </w:rPr>
              <w:t>143,0</w:t>
            </w:r>
          </w:p>
        </w:tc>
        <w:tc>
          <w:tcPr>
            <w:tcW w:w="3721" w:type="dxa"/>
            <w:tcBorders>
              <w:left w:val="double" w:sz="4" w:space="0" w:color="auto"/>
              <w:bottom w:val="double" w:sz="4" w:space="0" w:color="auto"/>
              <w:right w:val="double" w:sz="4" w:space="0" w:color="auto"/>
            </w:tcBorders>
          </w:tcPr>
          <w:p w:rsidR="00F93AB1" w:rsidRPr="008A74EA" w:rsidRDefault="00F93AB1" w:rsidP="00DC2F48">
            <w:pPr>
              <w:rPr>
                <w:rFonts w:asciiTheme="majorHAnsi" w:hAnsiTheme="majorHAnsi"/>
              </w:rPr>
            </w:pPr>
          </w:p>
        </w:tc>
        <w:tc>
          <w:tcPr>
            <w:tcW w:w="1134" w:type="dxa"/>
            <w:tcBorders>
              <w:bottom w:val="double" w:sz="4" w:space="0" w:color="auto"/>
              <w:right w:val="double" w:sz="4" w:space="0" w:color="auto"/>
            </w:tcBorders>
          </w:tcPr>
          <w:p w:rsidR="00F93AB1" w:rsidRPr="008A74EA" w:rsidRDefault="00F93AB1" w:rsidP="00DC2F48">
            <w:pPr>
              <w:jc w:val="right"/>
              <w:rPr>
                <w:rFonts w:asciiTheme="majorHAnsi" w:hAnsiTheme="majorHAnsi"/>
              </w:rPr>
            </w:pPr>
          </w:p>
        </w:tc>
      </w:tr>
    </w:tbl>
    <w:p w:rsidR="00F93AB1" w:rsidRDefault="00F93AB1" w:rsidP="00F93AB1">
      <w:pPr>
        <w:ind w:firstLine="709"/>
        <w:jc w:val="center"/>
        <w:rPr>
          <w:rFonts w:asciiTheme="majorHAnsi" w:hAnsiTheme="majorHAnsi"/>
        </w:rPr>
      </w:pPr>
    </w:p>
    <w:p w:rsidR="00C81D2F" w:rsidRPr="008A74EA" w:rsidRDefault="00C81D2F" w:rsidP="00F93AB1">
      <w:pPr>
        <w:ind w:firstLine="709"/>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56"/>
        <w:gridCol w:w="1098"/>
        <w:gridCol w:w="3721"/>
        <w:gridCol w:w="1134"/>
      </w:tblGrid>
      <w:tr w:rsidR="00F93AB1" w:rsidRPr="008A74EA">
        <w:trPr>
          <w:cantSplit/>
        </w:trPr>
        <w:tc>
          <w:tcPr>
            <w:tcW w:w="9709" w:type="dxa"/>
            <w:gridSpan w:val="4"/>
            <w:tcBorders>
              <w:top w:val="double" w:sz="4" w:space="0" w:color="auto"/>
              <w:left w:val="double" w:sz="4" w:space="0" w:color="auto"/>
              <w:bottom w:val="double" w:sz="4" w:space="0" w:color="auto"/>
              <w:right w:val="double" w:sz="4" w:space="0" w:color="auto"/>
            </w:tcBorders>
          </w:tcPr>
          <w:p w:rsidR="00F93AB1" w:rsidRPr="008A74EA" w:rsidRDefault="00F93AB1" w:rsidP="00F93AB1">
            <w:pPr>
              <w:pStyle w:val="Heading1"/>
              <w:rPr>
                <w:rFonts w:asciiTheme="majorHAnsi" w:hAnsiTheme="majorHAnsi"/>
              </w:rPr>
            </w:pPr>
            <w:r w:rsidRPr="008A74EA">
              <w:rPr>
                <w:rFonts w:asciiTheme="majorHAnsi" w:hAnsiTheme="majorHAnsi"/>
              </w:rPr>
              <w:t>Compte de capital</w:t>
            </w:r>
            <w:r w:rsidR="008A74EA">
              <w:rPr>
                <w:rFonts w:asciiTheme="majorHAnsi" w:hAnsiTheme="majorHAnsi"/>
              </w:rPr>
              <w:t xml:space="preserve"> (N°6)</w:t>
            </w:r>
          </w:p>
        </w:tc>
      </w:tr>
      <w:tr w:rsidR="00F93AB1" w:rsidRPr="008A74EA">
        <w:tc>
          <w:tcPr>
            <w:tcW w:w="3756" w:type="dxa"/>
            <w:tcBorders>
              <w:top w:val="double" w:sz="4" w:space="0" w:color="auto"/>
              <w:left w:val="double" w:sz="4" w:space="0" w:color="auto"/>
              <w:bottom w:val="double" w:sz="4" w:space="0" w:color="auto"/>
            </w:tcBorders>
          </w:tcPr>
          <w:p w:rsidR="00F93AB1" w:rsidRPr="008A74EA" w:rsidRDefault="008A74EA" w:rsidP="00DC2F48">
            <w:pPr>
              <w:rPr>
                <w:rFonts w:asciiTheme="majorHAnsi" w:hAnsiTheme="majorHAnsi"/>
                <w:b/>
                <w:i/>
              </w:rPr>
            </w:pPr>
            <w:r>
              <w:rPr>
                <w:rFonts w:asciiTheme="majorHAnsi" w:hAnsiTheme="majorHAnsi"/>
                <w:b/>
                <w:i/>
              </w:rPr>
              <w:t>Libellé</w:t>
            </w:r>
          </w:p>
        </w:tc>
        <w:tc>
          <w:tcPr>
            <w:tcW w:w="1098" w:type="dxa"/>
            <w:tcBorders>
              <w:top w:val="double" w:sz="4" w:space="0" w:color="auto"/>
              <w:left w:val="double" w:sz="4" w:space="0" w:color="auto"/>
              <w:bottom w:val="double" w:sz="4" w:space="0" w:color="auto"/>
            </w:tcBorders>
          </w:tcPr>
          <w:p w:rsidR="00F93AB1" w:rsidRPr="008A74EA" w:rsidRDefault="008A74EA" w:rsidP="00DC2F48">
            <w:pPr>
              <w:jc w:val="right"/>
              <w:rPr>
                <w:rFonts w:asciiTheme="majorHAnsi" w:hAnsiTheme="majorHAnsi"/>
                <w:b/>
                <w:i/>
              </w:rPr>
            </w:pPr>
            <w:r>
              <w:rPr>
                <w:rFonts w:asciiTheme="majorHAnsi" w:hAnsiTheme="majorHAnsi"/>
                <w:b/>
                <w:i/>
              </w:rPr>
              <w:t>Sommes</w:t>
            </w:r>
          </w:p>
        </w:tc>
        <w:tc>
          <w:tcPr>
            <w:tcW w:w="3721" w:type="dxa"/>
            <w:tcBorders>
              <w:top w:val="double" w:sz="4" w:space="0" w:color="auto"/>
              <w:right w:val="double" w:sz="4" w:space="0" w:color="auto"/>
            </w:tcBorders>
          </w:tcPr>
          <w:p w:rsidR="00F93AB1" w:rsidRPr="008A74EA" w:rsidRDefault="008A74EA" w:rsidP="00DC2F48">
            <w:pPr>
              <w:rPr>
                <w:rFonts w:asciiTheme="majorHAnsi" w:hAnsiTheme="majorHAnsi"/>
                <w:b/>
                <w:i/>
              </w:rPr>
            </w:pPr>
            <w:r>
              <w:rPr>
                <w:rFonts w:asciiTheme="majorHAnsi" w:hAnsiTheme="majorHAnsi"/>
                <w:b/>
                <w:i/>
              </w:rPr>
              <w:t>Libellés</w:t>
            </w:r>
          </w:p>
        </w:tc>
        <w:tc>
          <w:tcPr>
            <w:tcW w:w="1134" w:type="dxa"/>
            <w:tcBorders>
              <w:top w:val="double" w:sz="4" w:space="0" w:color="auto"/>
              <w:right w:val="double" w:sz="4" w:space="0" w:color="auto"/>
            </w:tcBorders>
          </w:tcPr>
          <w:p w:rsidR="00F93AB1" w:rsidRPr="008A74EA" w:rsidRDefault="008A74EA" w:rsidP="00DC2F48">
            <w:pPr>
              <w:jc w:val="right"/>
              <w:rPr>
                <w:rFonts w:asciiTheme="majorHAnsi" w:hAnsiTheme="majorHAnsi"/>
                <w:b/>
                <w:i/>
              </w:rPr>
            </w:pPr>
            <w:r>
              <w:rPr>
                <w:rFonts w:asciiTheme="majorHAnsi" w:hAnsiTheme="majorHAnsi"/>
                <w:b/>
                <w:i/>
              </w:rPr>
              <w:t>Sommes</w:t>
            </w:r>
          </w:p>
        </w:tc>
      </w:tr>
      <w:tr w:rsidR="00F93AB1" w:rsidRPr="008A74EA">
        <w:tc>
          <w:tcPr>
            <w:tcW w:w="3756" w:type="dxa"/>
            <w:tcBorders>
              <w:left w:val="double" w:sz="4" w:space="0" w:color="auto"/>
            </w:tcBorders>
            <w:vAlign w:val="center"/>
          </w:tcPr>
          <w:p w:rsidR="00F93AB1" w:rsidRPr="008A74EA" w:rsidRDefault="00F93AB1" w:rsidP="00DC2F48">
            <w:pPr>
              <w:rPr>
                <w:rFonts w:asciiTheme="majorHAnsi" w:hAnsiTheme="majorHAnsi"/>
              </w:rPr>
            </w:pPr>
          </w:p>
        </w:tc>
        <w:tc>
          <w:tcPr>
            <w:tcW w:w="1098" w:type="dxa"/>
            <w:tcBorders>
              <w:left w:val="double" w:sz="4" w:space="0" w:color="auto"/>
            </w:tcBorders>
            <w:vAlign w:val="center"/>
          </w:tcPr>
          <w:p w:rsidR="00F93AB1" w:rsidRPr="008A74EA" w:rsidRDefault="00F93AB1" w:rsidP="00DC2F48">
            <w:pPr>
              <w:jc w:val="right"/>
              <w:rPr>
                <w:rFonts w:asciiTheme="majorHAnsi" w:hAnsiTheme="majorHAnsi" w:cs="Arial"/>
              </w:rPr>
            </w:pPr>
          </w:p>
        </w:tc>
        <w:tc>
          <w:tcPr>
            <w:tcW w:w="3721" w:type="dxa"/>
            <w:tcBorders>
              <w:right w:val="double" w:sz="4" w:space="0" w:color="auto"/>
            </w:tcBorders>
          </w:tcPr>
          <w:p w:rsidR="00F93AB1" w:rsidRPr="008A74EA" w:rsidRDefault="002E4FA3" w:rsidP="00DC2F48">
            <w:pPr>
              <w:rPr>
                <w:rFonts w:asciiTheme="majorHAnsi" w:hAnsiTheme="majorHAnsi"/>
              </w:rPr>
            </w:pPr>
            <w:r w:rsidRPr="002E4FA3">
              <w:rPr>
                <w:rFonts w:asciiTheme="majorHAnsi" w:hAnsiTheme="majorHAnsi"/>
                <w:b/>
                <w:sz w:val="16"/>
                <w:szCs w:val="16"/>
              </w:rPr>
              <w:t>Epargne Brute</w:t>
            </w:r>
          </w:p>
        </w:tc>
        <w:tc>
          <w:tcPr>
            <w:tcW w:w="1134" w:type="dxa"/>
            <w:tcBorders>
              <w:right w:val="double" w:sz="4" w:space="0" w:color="auto"/>
            </w:tcBorders>
          </w:tcPr>
          <w:p w:rsidR="00F93AB1" w:rsidRPr="008A74EA" w:rsidRDefault="0088396F" w:rsidP="00DC2F48">
            <w:pPr>
              <w:jc w:val="right"/>
              <w:rPr>
                <w:rFonts w:asciiTheme="majorHAnsi" w:hAnsiTheme="majorHAnsi"/>
                <w:b/>
              </w:rPr>
            </w:pPr>
            <w:r>
              <w:rPr>
                <w:rFonts w:asciiTheme="majorHAnsi" w:hAnsiTheme="majorHAnsi"/>
                <w:b/>
              </w:rPr>
              <w:t>143,0</w:t>
            </w:r>
          </w:p>
        </w:tc>
      </w:tr>
      <w:tr w:rsidR="002E4FA3" w:rsidRPr="008A74EA">
        <w:tc>
          <w:tcPr>
            <w:tcW w:w="3756" w:type="dxa"/>
            <w:tcBorders>
              <w:left w:val="double" w:sz="4" w:space="0" w:color="auto"/>
            </w:tcBorders>
            <w:vAlign w:val="center"/>
          </w:tcPr>
          <w:p w:rsidR="002E4FA3" w:rsidRPr="008A74EA" w:rsidRDefault="002E4FA3" w:rsidP="00670B0E">
            <w:pPr>
              <w:rPr>
                <w:rFonts w:asciiTheme="majorHAnsi" w:hAnsiTheme="majorHAnsi"/>
              </w:rPr>
            </w:pPr>
            <w:r w:rsidRPr="008A74EA">
              <w:rPr>
                <w:rFonts w:asciiTheme="majorHAnsi" w:hAnsiTheme="majorHAnsi" w:cs="Arial"/>
                <w:sz w:val="16"/>
                <w:szCs w:val="16"/>
              </w:rPr>
              <w:t>Formation brute de capital fixe</w:t>
            </w:r>
          </w:p>
        </w:tc>
        <w:tc>
          <w:tcPr>
            <w:tcW w:w="1098" w:type="dxa"/>
            <w:tcBorders>
              <w:left w:val="double" w:sz="4" w:space="0" w:color="auto"/>
            </w:tcBorders>
            <w:vAlign w:val="center"/>
          </w:tcPr>
          <w:p w:rsidR="002E4FA3" w:rsidRPr="008A74EA" w:rsidRDefault="002E4FA3" w:rsidP="00670B0E">
            <w:pPr>
              <w:jc w:val="right"/>
              <w:rPr>
                <w:rFonts w:asciiTheme="majorHAnsi" w:hAnsiTheme="majorHAnsi" w:cs="Arial"/>
              </w:rPr>
            </w:pPr>
            <w:r w:rsidRPr="008A74EA">
              <w:rPr>
                <w:rFonts w:asciiTheme="majorHAnsi" w:hAnsiTheme="majorHAnsi" w:cs="Arial"/>
                <w:b/>
              </w:rPr>
              <w:t>181,8</w:t>
            </w:r>
          </w:p>
        </w:tc>
        <w:tc>
          <w:tcPr>
            <w:tcW w:w="3721" w:type="dxa"/>
            <w:tcBorders>
              <w:right w:val="double" w:sz="4" w:space="0" w:color="auto"/>
            </w:tcBorders>
            <w:vAlign w:val="center"/>
          </w:tcPr>
          <w:p w:rsidR="002E4FA3" w:rsidRPr="008A74EA" w:rsidRDefault="002E4FA3" w:rsidP="00DC2F48">
            <w:pPr>
              <w:rPr>
                <w:rFonts w:asciiTheme="majorHAnsi" w:hAnsiTheme="majorHAnsi"/>
              </w:rPr>
            </w:pPr>
            <w:r w:rsidRPr="008A74EA">
              <w:rPr>
                <w:rFonts w:asciiTheme="majorHAnsi" w:hAnsiTheme="majorHAnsi" w:cs="Arial"/>
                <w:sz w:val="16"/>
                <w:szCs w:val="16"/>
              </w:rPr>
              <w:t>Transferts en capital à recevoir</w:t>
            </w:r>
          </w:p>
        </w:tc>
        <w:tc>
          <w:tcPr>
            <w:tcW w:w="1134" w:type="dxa"/>
            <w:tcBorders>
              <w:right w:val="double" w:sz="4" w:space="0" w:color="auto"/>
            </w:tcBorders>
            <w:vAlign w:val="center"/>
          </w:tcPr>
          <w:p w:rsidR="002E4FA3" w:rsidRPr="008A74EA" w:rsidRDefault="002E4FA3" w:rsidP="00DC2F48">
            <w:pPr>
              <w:jc w:val="right"/>
              <w:rPr>
                <w:rFonts w:asciiTheme="majorHAnsi" w:hAnsiTheme="majorHAnsi" w:cs="Arial"/>
              </w:rPr>
            </w:pPr>
            <w:r w:rsidRPr="008A74EA">
              <w:rPr>
                <w:rFonts w:asciiTheme="majorHAnsi" w:hAnsiTheme="majorHAnsi" w:cs="Arial"/>
                <w:b/>
              </w:rPr>
              <w:t>15,9</w:t>
            </w:r>
          </w:p>
        </w:tc>
      </w:tr>
      <w:tr w:rsidR="002E4FA3" w:rsidRPr="008A74EA">
        <w:tc>
          <w:tcPr>
            <w:tcW w:w="3756" w:type="dxa"/>
            <w:tcBorders>
              <w:left w:val="double" w:sz="4" w:space="0" w:color="auto"/>
            </w:tcBorders>
            <w:vAlign w:val="center"/>
          </w:tcPr>
          <w:p w:rsidR="002E4FA3" w:rsidRPr="008A74EA" w:rsidRDefault="002E4FA3" w:rsidP="00670B0E">
            <w:pPr>
              <w:rPr>
                <w:rFonts w:asciiTheme="majorHAnsi" w:hAnsiTheme="majorHAnsi"/>
              </w:rPr>
            </w:pPr>
            <w:r w:rsidRPr="008A74EA">
              <w:rPr>
                <w:rFonts w:asciiTheme="majorHAnsi" w:hAnsiTheme="majorHAnsi" w:cs="Arial"/>
                <w:sz w:val="16"/>
                <w:szCs w:val="16"/>
              </w:rPr>
              <w:t>Variations des stocks</w:t>
            </w:r>
          </w:p>
        </w:tc>
        <w:tc>
          <w:tcPr>
            <w:tcW w:w="1098" w:type="dxa"/>
            <w:tcBorders>
              <w:left w:val="double" w:sz="4" w:space="0" w:color="auto"/>
            </w:tcBorders>
            <w:vAlign w:val="center"/>
          </w:tcPr>
          <w:p w:rsidR="002E4FA3" w:rsidRPr="008A74EA" w:rsidRDefault="002E4FA3" w:rsidP="00670B0E">
            <w:pPr>
              <w:jc w:val="right"/>
              <w:rPr>
                <w:rFonts w:asciiTheme="majorHAnsi" w:hAnsiTheme="majorHAnsi" w:cs="Arial"/>
              </w:rPr>
            </w:pPr>
            <w:r w:rsidRPr="008A74EA">
              <w:rPr>
                <w:rFonts w:asciiTheme="majorHAnsi" w:hAnsiTheme="majorHAnsi" w:cs="Arial"/>
                <w:b/>
              </w:rPr>
              <w:t>0,1</w:t>
            </w:r>
          </w:p>
        </w:tc>
        <w:tc>
          <w:tcPr>
            <w:tcW w:w="3721" w:type="dxa"/>
            <w:tcBorders>
              <w:right w:val="double" w:sz="4" w:space="0" w:color="auto"/>
            </w:tcBorders>
            <w:vAlign w:val="center"/>
          </w:tcPr>
          <w:p w:rsidR="002E4FA3" w:rsidRPr="008A74EA" w:rsidRDefault="002E4FA3" w:rsidP="00DC2F48">
            <w:pPr>
              <w:rPr>
                <w:rFonts w:asciiTheme="majorHAnsi" w:hAnsiTheme="majorHAnsi"/>
              </w:rPr>
            </w:pPr>
            <w:r w:rsidRPr="008A74EA">
              <w:rPr>
                <w:rFonts w:asciiTheme="majorHAnsi" w:hAnsiTheme="majorHAnsi" w:cs="Arial"/>
                <w:sz w:val="16"/>
                <w:szCs w:val="16"/>
              </w:rPr>
              <w:t>Transferts en capital à payer</w:t>
            </w:r>
          </w:p>
        </w:tc>
        <w:tc>
          <w:tcPr>
            <w:tcW w:w="1134" w:type="dxa"/>
            <w:tcBorders>
              <w:right w:val="double" w:sz="4" w:space="0" w:color="auto"/>
            </w:tcBorders>
            <w:vAlign w:val="center"/>
          </w:tcPr>
          <w:p w:rsidR="002E4FA3" w:rsidRPr="008A74EA" w:rsidRDefault="002E4FA3" w:rsidP="00DC2F48">
            <w:pPr>
              <w:jc w:val="right"/>
              <w:rPr>
                <w:rFonts w:asciiTheme="majorHAnsi" w:hAnsiTheme="majorHAnsi" w:cs="Arial"/>
              </w:rPr>
            </w:pPr>
            <w:r w:rsidRPr="00A37D1C">
              <w:rPr>
                <w:rFonts w:asciiTheme="majorHAnsi" w:hAnsiTheme="majorHAnsi"/>
                <w:b/>
                <w:color w:val="000000"/>
              </w:rPr>
              <w:t>-</w:t>
            </w:r>
            <w:r w:rsidRPr="008A74EA">
              <w:rPr>
                <w:rFonts w:asciiTheme="majorHAnsi" w:hAnsiTheme="majorHAnsi" w:cs="Arial"/>
                <w:b/>
              </w:rPr>
              <w:t>1,7</w:t>
            </w:r>
          </w:p>
        </w:tc>
      </w:tr>
      <w:tr w:rsidR="002E4FA3" w:rsidRPr="008A74EA">
        <w:tc>
          <w:tcPr>
            <w:tcW w:w="3756" w:type="dxa"/>
            <w:tcBorders>
              <w:left w:val="double" w:sz="4" w:space="0" w:color="auto"/>
              <w:bottom w:val="double" w:sz="4" w:space="0" w:color="auto"/>
            </w:tcBorders>
            <w:vAlign w:val="center"/>
          </w:tcPr>
          <w:p w:rsidR="002E4FA3" w:rsidRPr="008A74EA" w:rsidRDefault="002E4FA3" w:rsidP="00670B0E">
            <w:pPr>
              <w:rPr>
                <w:rFonts w:asciiTheme="majorHAnsi" w:hAnsiTheme="majorHAnsi"/>
              </w:rPr>
            </w:pPr>
            <w:r w:rsidRPr="008A74EA">
              <w:rPr>
                <w:rFonts w:asciiTheme="majorHAnsi" w:hAnsiTheme="majorHAnsi" w:cs="Arial"/>
                <w:sz w:val="16"/>
                <w:szCs w:val="16"/>
              </w:rPr>
              <w:t>Acquisitions nettes d'actifs non produits</w:t>
            </w:r>
          </w:p>
        </w:tc>
        <w:tc>
          <w:tcPr>
            <w:tcW w:w="1098" w:type="dxa"/>
            <w:tcBorders>
              <w:left w:val="double" w:sz="4" w:space="0" w:color="auto"/>
              <w:bottom w:val="double" w:sz="4" w:space="0" w:color="auto"/>
            </w:tcBorders>
            <w:vAlign w:val="center"/>
          </w:tcPr>
          <w:p w:rsidR="002E4FA3" w:rsidRPr="008A74EA" w:rsidRDefault="002E4FA3" w:rsidP="00670B0E">
            <w:pPr>
              <w:jc w:val="right"/>
              <w:rPr>
                <w:rFonts w:asciiTheme="majorHAnsi" w:hAnsiTheme="majorHAnsi" w:cs="Arial"/>
              </w:rPr>
            </w:pPr>
            <w:r w:rsidRPr="008A74EA">
              <w:rPr>
                <w:rFonts w:asciiTheme="majorHAnsi" w:hAnsiTheme="majorHAnsi" w:cs="Arial"/>
                <w:b/>
              </w:rPr>
              <w:t>0,8</w:t>
            </w:r>
          </w:p>
        </w:tc>
        <w:tc>
          <w:tcPr>
            <w:tcW w:w="3721" w:type="dxa"/>
            <w:tcBorders>
              <w:right w:val="double" w:sz="4" w:space="0" w:color="auto"/>
            </w:tcBorders>
          </w:tcPr>
          <w:p w:rsidR="002E4FA3" w:rsidRPr="008A74EA" w:rsidRDefault="002E4FA3" w:rsidP="00DC2F48">
            <w:pPr>
              <w:rPr>
                <w:rFonts w:asciiTheme="majorHAnsi" w:hAnsiTheme="majorHAnsi"/>
              </w:rPr>
            </w:pPr>
          </w:p>
        </w:tc>
        <w:tc>
          <w:tcPr>
            <w:tcW w:w="1134" w:type="dxa"/>
            <w:tcBorders>
              <w:right w:val="double" w:sz="4" w:space="0" w:color="auto"/>
            </w:tcBorders>
          </w:tcPr>
          <w:p w:rsidR="002E4FA3" w:rsidRPr="008A74EA" w:rsidRDefault="002E4FA3" w:rsidP="00DC2F48">
            <w:pPr>
              <w:jc w:val="right"/>
              <w:rPr>
                <w:rFonts w:asciiTheme="majorHAnsi" w:hAnsiTheme="majorHAnsi"/>
              </w:rPr>
            </w:pPr>
          </w:p>
        </w:tc>
      </w:tr>
      <w:tr w:rsidR="00F93AB1" w:rsidRPr="008A74EA">
        <w:trPr>
          <w:trHeight w:val="51"/>
        </w:trPr>
        <w:tc>
          <w:tcPr>
            <w:tcW w:w="3756" w:type="dxa"/>
            <w:tcBorders>
              <w:top w:val="double" w:sz="4" w:space="0" w:color="auto"/>
              <w:left w:val="double" w:sz="4" w:space="0" w:color="auto"/>
              <w:bottom w:val="double" w:sz="4" w:space="0" w:color="auto"/>
            </w:tcBorders>
            <w:vAlign w:val="center"/>
          </w:tcPr>
          <w:p w:rsidR="00F93AB1" w:rsidRPr="0081049F" w:rsidRDefault="0081049F" w:rsidP="0081049F">
            <w:pPr>
              <w:rPr>
                <w:rFonts w:asciiTheme="majorHAnsi" w:hAnsiTheme="majorHAnsi"/>
                <w:b/>
                <w:sz w:val="16"/>
                <w:szCs w:val="16"/>
              </w:rPr>
            </w:pPr>
            <w:r w:rsidRPr="0081049F">
              <w:rPr>
                <w:rFonts w:asciiTheme="majorHAnsi" w:hAnsiTheme="majorHAnsi"/>
                <w:b/>
                <w:sz w:val="16"/>
                <w:szCs w:val="16"/>
              </w:rPr>
              <w:t>Capacité ou Besoin en financement</w:t>
            </w:r>
          </w:p>
        </w:tc>
        <w:tc>
          <w:tcPr>
            <w:tcW w:w="1098" w:type="dxa"/>
            <w:tcBorders>
              <w:top w:val="double" w:sz="4" w:space="0" w:color="auto"/>
              <w:left w:val="double" w:sz="4" w:space="0" w:color="auto"/>
              <w:bottom w:val="double" w:sz="4" w:space="0" w:color="auto"/>
              <w:right w:val="double" w:sz="4" w:space="0" w:color="auto"/>
            </w:tcBorders>
          </w:tcPr>
          <w:p w:rsidR="00F93AB1" w:rsidRPr="008A74EA" w:rsidRDefault="0088396F" w:rsidP="00DC2F48">
            <w:pPr>
              <w:jc w:val="right"/>
              <w:rPr>
                <w:rFonts w:asciiTheme="majorHAnsi" w:hAnsiTheme="majorHAnsi"/>
                <w:b/>
              </w:rPr>
            </w:pPr>
            <w:r>
              <w:rPr>
                <w:rFonts w:asciiTheme="majorHAnsi" w:hAnsiTheme="majorHAnsi"/>
                <w:b/>
              </w:rPr>
              <w:t>-25,5</w:t>
            </w:r>
          </w:p>
        </w:tc>
        <w:tc>
          <w:tcPr>
            <w:tcW w:w="3721" w:type="dxa"/>
            <w:tcBorders>
              <w:left w:val="double" w:sz="4" w:space="0" w:color="auto"/>
              <w:bottom w:val="double" w:sz="4" w:space="0" w:color="auto"/>
              <w:right w:val="double" w:sz="4" w:space="0" w:color="auto"/>
            </w:tcBorders>
          </w:tcPr>
          <w:p w:rsidR="00F93AB1" w:rsidRPr="008A74EA" w:rsidRDefault="00F93AB1" w:rsidP="00DC2F48">
            <w:pPr>
              <w:rPr>
                <w:rFonts w:asciiTheme="majorHAnsi" w:hAnsiTheme="majorHAnsi"/>
              </w:rPr>
            </w:pPr>
          </w:p>
        </w:tc>
        <w:tc>
          <w:tcPr>
            <w:tcW w:w="1134" w:type="dxa"/>
            <w:tcBorders>
              <w:bottom w:val="double" w:sz="4" w:space="0" w:color="auto"/>
              <w:right w:val="double" w:sz="4" w:space="0" w:color="auto"/>
            </w:tcBorders>
          </w:tcPr>
          <w:p w:rsidR="00F93AB1" w:rsidRPr="008A74EA" w:rsidRDefault="00F93AB1" w:rsidP="00DC2F48">
            <w:pPr>
              <w:jc w:val="right"/>
              <w:rPr>
                <w:rFonts w:asciiTheme="majorHAnsi" w:hAnsiTheme="majorHAnsi"/>
              </w:rPr>
            </w:pPr>
          </w:p>
        </w:tc>
      </w:tr>
    </w:tbl>
    <w:p w:rsidR="00557EF8" w:rsidRPr="00557EF8" w:rsidRDefault="00557EF8" w:rsidP="0081049F">
      <w:pPr>
        <w:jc w:val="right"/>
        <w:rPr>
          <w:rFonts w:asciiTheme="majorHAnsi" w:hAnsiTheme="majorHAnsi" w:cs="Arial"/>
          <w:sz w:val="16"/>
          <w:szCs w:val="16"/>
        </w:rPr>
      </w:pPr>
      <w:r w:rsidRPr="00557EF8">
        <w:rPr>
          <w:rFonts w:asciiTheme="majorHAnsi" w:hAnsiTheme="majorHAnsi" w:cs="Arial"/>
          <w:sz w:val="16"/>
          <w:szCs w:val="16"/>
        </w:rPr>
        <w:t>Source : Comptes nationaux - Base 2005, Insee</w:t>
      </w:r>
    </w:p>
    <w:p w:rsidR="00F93AB1" w:rsidRDefault="00F93AB1" w:rsidP="005556A5">
      <w:pPr>
        <w:pStyle w:val="BodyTextIndent2"/>
        <w:ind w:firstLine="0"/>
        <w:rPr>
          <w:b/>
        </w:rPr>
      </w:pPr>
    </w:p>
    <w:p w:rsidR="00F93AB1" w:rsidRPr="005556A5" w:rsidRDefault="00F93AB1" w:rsidP="00F93AB1">
      <w:pPr>
        <w:pStyle w:val="BodyTextIndent"/>
        <w:numPr>
          <w:ilvl w:val="0"/>
          <w:numId w:val="3"/>
        </w:numPr>
        <w:rPr>
          <w:rFonts w:asciiTheme="majorHAnsi" w:hAnsiTheme="majorHAnsi"/>
          <w:b/>
          <w:sz w:val="20"/>
        </w:rPr>
      </w:pPr>
      <w:r w:rsidRPr="005556A5">
        <w:rPr>
          <w:rFonts w:asciiTheme="majorHAnsi" w:hAnsiTheme="majorHAnsi"/>
          <w:b/>
          <w:sz w:val="20"/>
        </w:rPr>
        <w:t xml:space="preserve">Après les avoir définis avec précision, calculez les ratios significatifs de l’activité des </w:t>
      </w:r>
      <w:r w:rsidR="00203C1C">
        <w:rPr>
          <w:rFonts w:asciiTheme="majorHAnsi" w:hAnsiTheme="majorHAnsi"/>
          <w:b/>
          <w:sz w:val="20"/>
        </w:rPr>
        <w:t>sociétés non-financières en 2010</w:t>
      </w:r>
      <w:r w:rsidRPr="005556A5">
        <w:rPr>
          <w:rFonts w:asciiTheme="majorHAnsi" w:hAnsiTheme="majorHAnsi"/>
          <w:b/>
          <w:sz w:val="20"/>
        </w:rPr>
        <w:t>, et complétez le tableau ci-dessous :</w:t>
      </w:r>
    </w:p>
    <w:p w:rsidR="00F93AB1" w:rsidRPr="00BC38B2" w:rsidRDefault="00F93AB1" w:rsidP="00F93AB1">
      <w:pPr>
        <w:ind w:left="709"/>
        <w:rPr>
          <w:rFonts w:ascii="Bell MT" w:hAnsi="Bell MT"/>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72"/>
        <w:gridCol w:w="567"/>
        <w:gridCol w:w="567"/>
        <w:gridCol w:w="567"/>
        <w:gridCol w:w="567"/>
        <w:gridCol w:w="567"/>
        <w:gridCol w:w="567"/>
        <w:gridCol w:w="567"/>
        <w:gridCol w:w="567"/>
        <w:gridCol w:w="567"/>
        <w:gridCol w:w="567"/>
        <w:gridCol w:w="567"/>
      </w:tblGrid>
      <w:tr w:rsidR="005556A5" w:rsidRPr="00BC38B2">
        <w:tc>
          <w:tcPr>
            <w:tcW w:w="3472" w:type="dxa"/>
            <w:tcBorders>
              <w:top w:val="double" w:sz="4" w:space="0" w:color="auto"/>
              <w:left w:val="double" w:sz="4" w:space="0" w:color="auto"/>
              <w:bottom w:val="double" w:sz="4" w:space="0" w:color="auto"/>
            </w:tcBorders>
            <w:vAlign w:val="center"/>
          </w:tcPr>
          <w:p w:rsidR="005556A5" w:rsidRPr="005556A5" w:rsidRDefault="005556A5" w:rsidP="00F93AB1">
            <w:pPr>
              <w:jc w:val="center"/>
              <w:rPr>
                <w:rFonts w:asciiTheme="majorHAnsi" w:hAnsiTheme="majorHAnsi"/>
                <w:b/>
                <w:i/>
              </w:rPr>
            </w:pPr>
            <w:r w:rsidRPr="005556A5">
              <w:rPr>
                <w:rFonts w:asciiTheme="majorHAnsi" w:hAnsiTheme="majorHAnsi"/>
                <w:b/>
                <w:i/>
              </w:rPr>
              <w:t>Ratios (%)</w:t>
            </w:r>
          </w:p>
        </w:tc>
        <w:tc>
          <w:tcPr>
            <w:tcW w:w="567" w:type="dxa"/>
            <w:tcBorders>
              <w:top w:val="double" w:sz="4" w:space="0" w:color="auto"/>
              <w:bottom w:val="double" w:sz="4" w:space="0" w:color="auto"/>
            </w:tcBorders>
            <w:vAlign w:val="bottom"/>
          </w:tcPr>
          <w:p w:rsidR="005556A5" w:rsidRPr="005556A5" w:rsidRDefault="005556A5" w:rsidP="00670B0E">
            <w:pPr>
              <w:jc w:val="center"/>
              <w:rPr>
                <w:rFonts w:asciiTheme="majorHAnsi" w:hAnsiTheme="majorHAnsi"/>
                <w:b/>
                <w:i/>
                <w:sz w:val="18"/>
                <w:szCs w:val="18"/>
              </w:rPr>
            </w:pPr>
            <w:r w:rsidRPr="005556A5">
              <w:rPr>
                <w:rFonts w:asciiTheme="majorHAnsi" w:hAnsiTheme="majorHAnsi"/>
                <w:b/>
                <w:i/>
                <w:sz w:val="18"/>
                <w:szCs w:val="18"/>
              </w:rPr>
              <w:t>2000</w:t>
            </w:r>
          </w:p>
        </w:tc>
        <w:tc>
          <w:tcPr>
            <w:tcW w:w="567" w:type="dxa"/>
            <w:tcBorders>
              <w:top w:val="double" w:sz="4" w:space="0" w:color="auto"/>
              <w:bottom w:val="double" w:sz="4" w:space="0" w:color="auto"/>
            </w:tcBorders>
            <w:vAlign w:val="bottom"/>
          </w:tcPr>
          <w:p w:rsidR="005556A5" w:rsidRPr="005556A5" w:rsidRDefault="005556A5" w:rsidP="00670B0E">
            <w:pPr>
              <w:jc w:val="center"/>
              <w:rPr>
                <w:rFonts w:asciiTheme="majorHAnsi" w:hAnsiTheme="majorHAnsi"/>
                <w:b/>
                <w:i/>
                <w:sz w:val="18"/>
                <w:szCs w:val="18"/>
              </w:rPr>
            </w:pPr>
            <w:r w:rsidRPr="005556A5">
              <w:rPr>
                <w:rFonts w:asciiTheme="majorHAnsi" w:hAnsiTheme="majorHAnsi"/>
                <w:b/>
                <w:i/>
                <w:sz w:val="18"/>
                <w:szCs w:val="18"/>
              </w:rPr>
              <w:t>2001</w:t>
            </w:r>
          </w:p>
        </w:tc>
        <w:tc>
          <w:tcPr>
            <w:tcW w:w="567" w:type="dxa"/>
            <w:tcBorders>
              <w:top w:val="double" w:sz="4" w:space="0" w:color="auto"/>
              <w:bottom w:val="double" w:sz="4" w:space="0" w:color="auto"/>
            </w:tcBorders>
            <w:vAlign w:val="bottom"/>
          </w:tcPr>
          <w:p w:rsidR="005556A5" w:rsidRPr="005556A5" w:rsidRDefault="005556A5" w:rsidP="00670B0E">
            <w:pPr>
              <w:jc w:val="center"/>
              <w:rPr>
                <w:rFonts w:asciiTheme="majorHAnsi" w:hAnsiTheme="majorHAnsi"/>
                <w:b/>
                <w:i/>
                <w:sz w:val="18"/>
                <w:szCs w:val="18"/>
              </w:rPr>
            </w:pPr>
            <w:r w:rsidRPr="005556A5">
              <w:rPr>
                <w:rFonts w:asciiTheme="majorHAnsi" w:hAnsiTheme="majorHAnsi"/>
                <w:b/>
                <w:i/>
                <w:sz w:val="18"/>
                <w:szCs w:val="18"/>
              </w:rPr>
              <w:t>2002</w:t>
            </w:r>
          </w:p>
        </w:tc>
        <w:tc>
          <w:tcPr>
            <w:tcW w:w="567" w:type="dxa"/>
            <w:tcBorders>
              <w:top w:val="double" w:sz="4" w:space="0" w:color="auto"/>
              <w:bottom w:val="double" w:sz="4" w:space="0" w:color="auto"/>
            </w:tcBorders>
            <w:vAlign w:val="bottom"/>
          </w:tcPr>
          <w:p w:rsidR="005556A5" w:rsidRPr="005556A5" w:rsidRDefault="005556A5" w:rsidP="00670B0E">
            <w:pPr>
              <w:jc w:val="center"/>
              <w:rPr>
                <w:rFonts w:asciiTheme="majorHAnsi" w:hAnsiTheme="majorHAnsi"/>
                <w:b/>
                <w:i/>
                <w:sz w:val="18"/>
                <w:szCs w:val="18"/>
              </w:rPr>
            </w:pPr>
            <w:r w:rsidRPr="005556A5">
              <w:rPr>
                <w:rFonts w:asciiTheme="majorHAnsi" w:hAnsiTheme="majorHAnsi"/>
                <w:b/>
                <w:i/>
                <w:sz w:val="18"/>
                <w:szCs w:val="18"/>
              </w:rPr>
              <w:t>2003</w:t>
            </w:r>
          </w:p>
        </w:tc>
        <w:tc>
          <w:tcPr>
            <w:tcW w:w="567" w:type="dxa"/>
            <w:tcBorders>
              <w:top w:val="double" w:sz="4" w:space="0" w:color="auto"/>
              <w:bottom w:val="double" w:sz="4" w:space="0" w:color="auto"/>
            </w:tcBorders>
            <w:vAlign w:val="bottom"/>
          </w:tcPr>
          <w:p w:rsidR="005556A5" w:rsidRPr="005556A5" w:rsidRDefault="005556A5" w:rsidP="00670B0E">
            <w:pPr>
              <w:jc w:val="center"/>
              <w:rPr>
                <w:rFonts w:asciiTheme="majorHAnsi" w:hAnsiTheme="majorHAnsi"/>
                <w:b/>
                <w:i/>
                <w:sz w:val="18"/>
                <w:szCs w:val="18"/>
              </w:rPr>
            </w:pPr>
            <w:r w:rsidRPr="005556A5">
              <w:rPr>
                <w:rFonts w:asciiTheme="majorHAnsi" w:hAnsiTheme="majorHAnsi"/>
                <w:b/>
                <w:i/>
                <w:sz w:val="18"/>
                <w:szCs w:val="18"/>
              </w:rPr>
              <w:t>2004</w:t>
            </w:r>
          </w:p>
        </w:tc>
        <w:tc>
          <w:tcPr>
            <w:tcW w:w="567" w:type="dxa"/>
            <w:tcBorders>
              <w:top w:val="double" w:sz="4" w:space="0" w:color="auto"/>
              <w:bottom w:val="double" w:sz="4" w:space="0" w:color="auto"/>
            </w:tcBorders>
            <w:vAlign w:val="bottom"/>
          </w:tcPr>
          <w:p w:rsidR="005556A5" w:rsidRPr="005556A5" w:rsidRDefault="005556A5" w:rsidP="00670B0E">
            <w:pPr>
              <w:jc w:val="center"/>
              <w:rPr>
                <w:rFonts w:asciiTheme="majorHAnsi" w:hAnsiTheme="majorHAnsi"/>
                <w:b/>
                <w:i/>
                <w:sz w:val="18"/>
                <w:szCs w:val="18"/>
              </w:rPr>
            </w:pPr>
            <w:r w:rsidRPr="005556A5">
              <w:rPr>
                <w:rFonts w:asciiTheme="majorHAnsi" w:hAnsiTheme="majorHAnsi"/>
                <w:b/>
                <w:i/>
                <w:sz w:val="18"/>
                <w:szCs w:val="18"/>
              </w:rPr>
              <w:t>2005</w:t>
            </w:r>
          </w:p>
        </w:tc>
        <w:tc>
          <w:tcPr>
            <w:tcW w:w="567" w:type="dxa"/>
            <w:tcBorders>
              <w:top w:val="double" w:sz="4" w:space="0" w:color="auto"/>
              <w:bottom w:val="double" w:sz="4" w:space="0" w:color="auto"/>
            </w:tcBorders>
            <w:vAlign w:val="bottom"/>
          </w:tcPr>
          <w:p w:rsidR="005556A5" w:rsidRPr="005556A5" w:rsidRDefault="005556A5" w:rsidP="00670B0E">
            <w:pPr>
              <w:jc w:val="center"/>
              <w:rPr>
                <w:rFonts w:asciiTheme="majorHAnsi" w:hAnsiTheme="majorHAnsi"/>
                <w:b/>
                <w:i/>
                <w:sz w:val="18"/>
                <w:szCs w:val="18"/>
              </w:rPr>
            </w:pPr>
            <w:r w:rsidRPr="005556A5">
              <w:rPr>
                <w:rFonts w:asciiTheme="majorHAnsi" w:hAnsiTheme="majorHAnsi"/>
                <w:b/>
                <w:i/>
                <w:sz w:val="18"/>
                <w:szCs w:val="18"/>
              </w:rPr>
              <w:t>2006</w:t>
            </w:r>
          </w:p>
        </w:tc>
        <w:tc>
          <w:tcPr>
            <w:tcW w:w="567" w:type="dxa"/>
            <w:tcBorders>
              <w:top w:val="double" w:sz="4" w:space="0" w:color="auto"/>
              <w:bottom w:val="double" w:sz="4" w:space="0" w:color="auto"/>
            </w:tcBorders>
            <w:vAlign w:val="bottom"/>
          </w:tcPr>
          <w:p w:rsidR="005556A5" w:rsidRPr="005556A5" w:rsidRDefault="005556A5" w:rsidP="00670B0E">
            <w:pPr>
              <w:jc w:val="center"/>
              <w:rPr>
                <w:rFonts w:asciiTheme="majorHAnsi" w:hAnsiTheme="majorHAnsi"/>
                <w:b/>
                <w:i/>
                <w:sz w:val="18"/>
                <w:szCs w:val="18"/>
              </w:rPr>
            </w:pPr>
            <w:r w:rsidRPr="005556A5">
              <w:rPr>
                <w:rFonts w:asciiTheme="majorHAnsi" w:hAnsiTheme="majorHAnsi"/>
                <w:b/>
                <w:i/>
                <w:sz w:val="18"/>
                <w:szCs w:val="18"/>
              </w:rPr>
              <w:t>2007</w:t>
            </w:r>
          </w:p>
        </w:tc>
        <w:tc>
          <w:tcPr>
            <w:tcW w:w="567" w:type="dxa"/>
            <w:tcBorders>
              <w:top w:val="double" w:sz="4" w:space="0" w:color="auto"/>
              <w:bottom w:val="double" w:sz="4" w:space="0" w:color="auto"/>
            </w:tcBorders>
            <w:vAlign w:val="bottom"/>
          </w:tcPr>
          <w:p w:rsidR="005556A5" w:rsidRPr="005556A5" w:rsidRDefault="005556A5" w:rsidP="00670B0E">
            <w:pPr>
              <w:jc w:val="center"/>
              <w:rPr>
                <w:rFonts w:asciiTheme="majorHAnsi" w:hAnsiTheme="majorHAnsi"/>
                <w:b/>
                <w:i/>
                <w:sz w:val="18"/>
                <w:szCs w:val="18"/>
              </w:rPr>
            </w:pPr>
            <w:r w:rsidRPr="005556A5">
              <w:rPr>
                <w:rFonts w:asciiTheme="majorHAnsi" w:hAnsiTheme="majorHAnsi"/>
                <w:b/>
                <w:i/>
                <w:sz w:val="18"/>
                <w:szCs w:val="18"/>
              </w:rPr>
              <w:t>2008</w:t>
            </w:r>
          </w:p>
        </w:tc>
        <w:tc>
          <w:tcPr>
            <w:tcW w:w="567" w:type="dxa"/>
            <w:tcBorders>
              <w:top w:val="double" w:sz="4" w:space="0" w:color="auto"/>
              <w:bottom w:val="double" w:sz="4" w:space="0" w:color="auto"/>
              <w:right w:val="single" w:sz="4" w:space="0" w:color="auto"/>
            </w:tcBorders>
            <w:vAlign w:val="bottom"/>
          </w:tcPr>
          <w:p w:rsidR="005556A5" w:rsidRPr="005556A5" w:rsidRDefault="005556A5" w:rsidP="00670B0E">
            <w:pPr>
              <w:jc w:val="center"/>
              <w:rPr>
                <w:rFonts w:asciiTheme="majorHAnsi" w:hAnsiTheme="majorHAnsi"/>
                <w:b/>
                <w:i/>
                <w:sz w:val="18"/>
                <w:szCs w:val="18"/>
              </w:rPr>
            </w:pPr>
            <w:r w:rsidRPr="005556A5">
              <w:rPr>
                <w:rFonts w:asciiTheme="majorHAnsi" w:hAnsiTheme="majorHAnsi"/>
                <w:b/>
                <w:i/>
                <w:sz w:val="18"/>
                <w:szCs w:val="18"/>
              </w:rPr>
              <w:t>2009</w:t>
            </w:r>
          </w:p>
        </w:tc>
        <w:tc>
          <w:tcPr>
            <w:tcW w:w="567" w:type="dxa"/>
            <w:tcBorders>
              <w:top w:val="double" w:sz="4" w:space="0" w:color="auto"/>
              <w:left w:val="nil"/>
              <w:bottom w:val="double" w:sz="4" w:space="0" w:color="auto"/>
              <w:right w:val="double" w:sz="4" w:space="0" w:color="auto"/>
            </w:tcBorders>
            <w:vAlign w:val="bottom"/>
          </w:tcPr>
          <w:p w:rsidR="005556A5" w:rsidRPr="00AD6C4A" w:rsidRDefault="005556A5" w:rsidP="00F93AB1">
            <w:pPr>
              <w:jc w:val="center"/>
              <w:rPr>
                <w:rFonts w:asciiTheme="majorHAnsi" w:hAnsiTheme="majorHAnsi"/>
                <w:b/>
                <w:i/>
                <w:color w:val="FF0000"/>
                <w:sz w:val="18"/>
                <w:szCs w:val="18"/>
              </w:rPr>
            </w:pPr>
            <w:r w:rsidRPr="00AD6C4A">
              <w:rPr>
                <w:rFonts w:asciiTheme="majorHAnsi" w:hAnsiTheme="majorHAnsi"/>
                <w:b/>
                <w:i/>
                <w:color w:val="FF0000"/>
                <w:sz w:val="18"/>
                <w:szCs w:val="18"/>
              </w:rPr>
              <w:t>2010</w:t>
            </w:r>
          </w:p>
        </w:tc>
      </w:tr>
      <w:tr w:rsidR="005556A5" w:rsidRPr="00BC38B2">
        <w:tc>
          <w:tcPr>
            <w:tcW w:w="3472" w:type="dxa"/>
            <w:tcBorders>
              <w:top w:val="double" w:sz="4" w:space="0" w:color="auto"/>
              <w:left w:val="double" w:sz="4" w:space="0" w:color="auto"/>
            </w:tcBorders>
            <w:vAlign w:val="center"/>
          </w:tcPr>
          <w:p w:rsidR="005556A5" w:rsidRPr="005556A5" w:rsidRDefault="005556A5" w:rsidP="00F93AB1">
            <w:pPr>
              <w:rPr>
                <w:rFonts w:asciiTheme="majorHAnsi" w:hAnsiTheme="majorHAnsi"/>
                <w:i/>
              </w:rPr>
            </w:pPr>
            <w:r w:rsidRPr="005556A5">
              <w:rPr>
                <w:rFonts w:asciiTheme="majorHAnsi" w:hAnsiTheme="majorHAnsi"/>
                <w:i/>
              </w:rPr>
              <w:t>PIB (en Mrds d’euros courants)</w:t>
            </w:r>
          </w:p>
        </w:tc>
        <w:tc>
          <w:tcPr>
            <w:tcW w:w="567" w:type="dxa"/>
            <w:tcBorders>
              <w:top w:val="double" w:sz="4" w:space="0" w:color="auto"/>
            </w:tcBorders>
            <w:vAlign w:val="center"/>
          </w:tcPr>
          <w:p w:rsidR="005556A5" w:rsidRPr="005556A5" w:rsidRDefault="00F91A20" w:rsidP="00AF2494">
            <w:pPr>
              <w:jc w:val="center"/>
              <w:rPr>
                <w:rFonts w:asciiTheme="majorHAnsi" w:hAnsiTheme="majorHAnsi"/>
                <w:i/>
              </w:rPr>
            </w:pPr>
            <w:r>
              <w:rPr>
                <w:rFonts w:asciiTheme="majorHAnsi" w:hAnsiTheme="majorHAnsi"/>
                <w:i/>
              </w:rPr>
              <w:t>1440</w:t>
            </w:r>
          </w:p>
        </w:tc>
        <w:tc>
          <w:tcPr>
            <w:tcW w:w="567" w:type="dxa"/>
            <w:tcBorders>
              <w:top w:val="double" w:sz="4" w:space="0" w:color="auto"/>
            </w:tcBorders>
            <w:vAlign w:val="center"/>
          </w:tcPr>
          <w:p w:rsidR="005556A5" w:rsidRPr="005556A5" w:rsidRDefault="002A374B" w:rsidP="00AF2494">
            <w:pPr>
              <w:jc w:val="center"/>
              <w:rPr>
                <w:rFonts w:asciiTheme="majorHAnsi" w:hAnsiTheme="majorHAnsi"/>
                <w:i/>
              </w:rPr>
            </w:pPr>
            <w:r>
              <w:rPr>
                <w:rFonts w:asciiTheme="majorHAnsi" w:hAnsiTheme="majorHAnsi"/>
                <w:i/>
              </w:rPr>
              <w:t>1496</w:t>
            </w:r>
          </w:p>
        </w:tc>
        <w:tc>
          <w:tcPr>
            <w:tcW w:w="567" w:type="dxa"/>
            <w:tcBorders>
              <w:top w:val="double" w:sz="4" w:space="0" w:color="auto"/>
            </w:tcBorders>
            <w:vAlign w:val="center"/>
          </w:tcPr>
          <w:p w:rsidR="005556A5" w:rsidRPr="005556A5" w:rsidRDefault="00433133" w:rsidP="00AF2494">
            <w:pPr>
              <w:jc w:val="center"/>
              <w:rPr>
                <w:rFonts w:asciiTheme="majorHAnsi" w:hAnsiTheme="majorHAnsi"/>
                <w:i/>
              </w:rPr>
            </w:pPr>
            <w:r>
              <w:rPr>
                <w:rFonts w:asciiTheme="majorHAnsi" w:hAnsiTheme="majorHAnsi"/>
                <w:i/>
              </w:rPr>
              <w:t>1543</w:t>
            </w:r>
          </w:p>
        </w:tc>
        <w:tc>
          <w:tcPr>
            <w:tcW w:w="567" w:type="dxa"/>
            <w:tcBorders>
              <w:top w:val="double" w:sz="4" w:space="0" w:color="auto"/>
            </w:tcBorders>
            <w:vAlign w:val="center"/>
          </w:tcPr>
          <w:p w:rsidR="005556A5" w:rsidRPr="005556A5" w:rsidRDefault="000166A8" w:rsidP="00AF2494">
            <w:pPr>
              <w:jc w:val="center"/>
              <w:rPr>
                <w:rFonts w:asciiTheme="majorHAnsi" w:hAnsiTheme="majorHAnsi"/>
                <w:i/>
              </w:rPr>
            </w:pPr>
            <w:r>
              <w:rPr>
                <w:rFonts w:asciiTheme="majorHAnsi" w:hAnsiTheme="majorHAnsi"/>
                <w:i/>
              </w:rPr>
              <w:t>1588</w:t>
            </w:r>
          </w:p>
        </w:tc>
        <w:tc>
          <w:tcPr>
            <w:tcW w:w="567" w:type="dxa"/>
            <w:tcBorders>
              <w:top w:val="double" w:sz="4" w:space="0" w:color="auto"/>
            </w:tcBorders>
            <w:vAlign w:val="center"/>
          </w:tcPr>
          <w:p w:rsidR="005556A5" w:rsidRPr="005556A5" w:rsidRDefault="000166A8" w:rsidP="00AF2494">
            <w:pPr>
              <w:jc w:val="center"/>
              <w:rPr>
                <w:rFonts w:asciiTheme="majorHAnsi" w:hAnsiTheme="majorHAnsi"/>
                <w:i/>
              </w:rPr>
            </w:pPr>
            <w:r>
              <w:rPr>
                <w:rFonts w:asciiTheme="majorHAnsi" w:hAnsiTheme="majorHAnsi"/>
                <w:i/>
              </w:rPr>
              <w:t>1656</w:t>
            </w:r>
          </w:p>
        </w:tc>
        <w:tc>
          <w:tcPr>
            <w:tcW w:w="567" w:type="dxa"/>
            <w:tcBorders>
              <w:top w:val="double" w:sz="4" w:space="0" w:color="auto"/>
            </w:tcBorders>
            <w:vAlign w:val="center"/>
          </w:tcPr>
          <w:p w:rsidR="005556A5" w:rsidRPr="005556A5" w:rsidRDefault="00E62A81" w:rsidP="00AF2494">
            <w:pPr>
              <w:jc w:val="center"/>
              <w:rPr>
                <w:rFonts w:asciiTheme="majorHAnsi" w:hAnsiTheme="majorHAnsi"/>
                <w:i/>
              </w:rPr>
            </w:pPr>
            <w:r>
              <w:rPr>
                <w:rFonts w:asciiTheme="majorHAnsi" w:hAnsiTheme="majorHAnsi"/>
                <w:i/>
              </w:rPr>
              <w:t>1718</w:t>
            </w:r>
          </w:p>
        </w:tc>
        <w:tc>
          <w:tcPr>
            <w:tcW w:w="567" w:type="dxa"/>
            <w:tcBorders>
              <w:top w:val="double" w:sz="4" w:space="0" w:color="auto"/>
            </w:tcBorders>
            <w:vAlign w:val="center"/>
          </w:tcPr>
          <w:p w:rsidR="005556A5" w:rsidRPr="005556A5" w:rsidRDefault="00670B0E" w:rsidP="00AF2494">
            <w:pPr>
              <w:jc w:val="center"/>
              <w:rPr>
                <w:rFonts w:asciiTheme="majorHAnsi" w:hAnsiTheme="majorHAnsi"/>
                <w:i/>
              </w:rPr>
            </w:pPr>
            <w:r>
              <w:rPr>
                <w:rFonts w:asciiTheme="majorHAnsi" w:hAnsiTheme="majorHAnsi"/>
                <w:i/>
              </w:rPr>
              <w:t>1798</w:t>
            </w:r>
          </w:p>
        </w:tc>
        <w:tc>
          <w:tcPr>
            <w:tcW w:w="567" w:type="dxa"/>
            <w:tcBorders>
              <w:top w:val="double" w:sz="4" w:space="0" w:color="auto"/>
            </w:tcBorders>
            <w:vAlign w:val="center"/>
          </w:tcPr>
          <w:p w:rsidR="005556A5" w:rsidRPr="005556A5" w:rsidRDefault="005556A5" w:rsidP="00AF2494">
            <w:pPr>
              <w:jc w:val="center"/>
              <w:rPr>
                <w:rFonts w:asciiTheme="majorHAnsi" w:hAnsiTheme="majorHAnsi"/>
                <w:i/>
                <w:color w:val="000000" w:themeColor="text1"/>
              </w:rPr>
            </w:pPr>
            <w:r w:rsidRPr="005556A5">
              <w:rPr>
                <w:rFonts w:asciiTheme="majorHAnsi" w:hAnsiTheme="majorHAnsi"/>
                <w:i/>
                <w:color w:val="000000" w:themeColor="text1"/>
              </w:rPr>
              <w:t>18</w:t>
            </w:r>
            <w:r w:rsidR="00CB7704">
              <w:rPr>
                <w:rFonts w:asciiTheme="majorHAnsi" w:hAnsiTheme="majorHAnsi"/>
                <w:i/>
                <w:color w:val="000000" w:themeColor="text1"/>
              </w:rPr>
              <w:t>87</w:t>
            </w:r>
          </w:p>
        </w:tc>
        <w:tc>
          <w:tcPr>
            <w:tcW w:w="567" w:type="dxa"/>
            <w:tcBorders>
              <w:top w:val="double" w:sz="4" w:space="0" w:color="auto"/>
            </w:tcBorders>
            <w:vAlign w:val="center"/>
          </w:tcPr>
          <w:p w:rsidR="005556A5" w:rsidRPr="005556A5" w:rsidRDefault="005556A5" w:rsidP="00AF2494">
            <w:pPr>
              <w:jc w:val="center"/>
              <w:rPr>
                <w:rFonts w:asciiTheme="majorHAnsi" w:hAnsiTheme="majorHAnsi"/>
                <w:i/>
              </w:rPr>
            </w:pPr>
            <w:r w:rsidRPr="005556A5">
              <w:rPr>
                <w:rFonts w:asciiTheme="majorHAnsi" w:hAnsiTheme="majorHAnsi"/>
                <w:i/>
              </w:rPr>
              <w:t>19</w:t>
            </w:r>
            <w:r w:rsidR="00616316">
              <w:rPr>
                <w:rFonts w:asciiTheme="majorHAnsi" w:hAnsiTheme="majorHAnsi"/>
                <w:i/>
              </w:rPr>
              <w:t>33</w:t>
            </w:r>
          </w:p>
        </w:tc>
        <w:tc>
          <w:tcPr>
            <w:tcW w:w="567" w:type="dxa"/>
            <w:tcBorders>
              <w:top w:val="double" w:sz="4" w:space="0" w:color="auto"/>
              <w:right w:val="single" w:sz="4" w:space="0" w:color="auto"/>
            </w:tcBorders>
            <w:vAlign w:val="center"/>
          </w:tcPr>
          <w:p w:rsidR="005556A5" w:rsidRPr="00AF2494" w:rsidRDefault="00AF2494" w:rsidP="00AF2494">
            <w:pPr>
              <w:jc w:val="center"/>
              <w:rPr>
                <w:rFonts w:asciiTheme="majorHAnsi" w:hAnsiTheme="majorHAnsi" w:cs="Arial"/>
                <w:bCs/>
                <w:i/>
              </w:rPr>
            </w:pPr>
            <w:r w:rsidRPr="00AF2494">
              <w:rPr>
                <w:rFonts w:asciiTheme="majorHAnsi" w:hAnsiTheme="majorHAnsi" w:cs="Arial"/>
                <w:bCs/>
                <w:i/>
              </w:rPr>
              <w:t>1889</w:t>
            </w:r>
          </w:p>
        </w:tc>
        <w:tc>
          <w:tcPr>
            <w:tcW w:w="567" w:type="dxa"/>
            <w:tcBorders>
              <w:top w:val="double" w:sz="4" w:space="0" w:color="auto"/>
              <w:left w:val="nil"/>
              <w:right w:val="double" w:sz="4" w:space="0" w:color="auto"/>
            </w:tcBorders>
            <w:vAlign w:val="center"/>
          </w:tcPr>
          <w:p w:rsidR="005556A5" w:rsidRPr="00AD6C4A" w:rsidRDefault="002B33BB" w:rsidP="00F93AB1">
            <w:pPr>
              <w:jc w:val="center"/>
              <w:rPr>
                <w:rFonts w:asciiTheme="majorHAnsi" w:hAnsiTheme="majorHAnsi" w:cs="Arial"/>
                <w:b/>
                <w:bCs/>
                <w:color w:val="FF0000"/>
                <w:sz w:val="18"/>
                <w:szCs w:val="18"/>
              </w:rPr>
            </w:pPr>
            <w:r w:rsidRPr="00AD6C4A">
              <w:rPr>
                <w:rFonts w:asciiTheme="majorHAnsi" w:hAnsiTheme="majorHAnsi" w:cs="Arial"/>
                <w:b/>
                <w:bCs/>
                <w:color w:val="FF0000"/>
                <w:sz w:val="18"/>
                <w:szCs w:val="18"/>
              </w:rPr>
              <w:t>1933</w:t>
            </w:r>
          </w:p>
        </w:tc>
      </w:tr>
      <w:tr w:rsidR="005556A5" w:rsidRPr="00BC38B2">
        <w:tc>
          <w:tcPr>
            <w:tcW w:w="3472" w:type="dxa"/>
            <w:tcBorders>
              <w:top w:val="double" w:sz="4" w:space="0" w:color="auto"/>
              <w:left w:val="double" w:sz="4" w:space="0" w:color="auto"/>
            </w:tcBorders>
            <w:vAlign w:val="center"/>
          </w:tcPr>
          <w:p w:rsidR="005556A5" w:rsidRPr="005556A5" w:rsidRDefault="005556A5" w:rsidP="00F93AB1">
            <w:pPr>
              <w:rPr>
                <w:rFonts w:asciiTheme="majorHAnsi" w:hAnsiTheme="majorHAnsi"/>
              </w:rPr>
            </w:pPr>
            <w:r w:rsidRPr="005556A5">
              <w:rPr>
                <w:rFonts w:asciiTheme="majorHAnsi" w:hAnsiTheme="majorHAnsi"/>
              </w:rPr>
              <w:t>VAB / PIB</w:t>
            </w:r>
          </w:p>
        </w:tc>
        <w:tc>
          <w:tcPr>
            <w:tcW w:w="567" w:type="dxa"/>
            <w:tcBorders>
              <w:top w:val="double" w:sz="4" w:space="0" w:color="auto"/>
            </w:tcBorders>
            <w:vAlign w:val="center"/>
          </w:tcPr>
          <w:p w:rsidR="005556A5" w:rsidRPr="005556A5" w:rsidRDefault="00F91A20" w:rsidP="00670B0E">
            <w:pPr>
              <w:jc w:val="center"/>
              <w:rPr>
                <w:rFonts w:asciiTheme="majorHAnsi" w:hAnsiTheme="majorHAnsi"/>
              </w:rPr>
            </w:pPr>
            <w:r>
              <w:rPr>
                <w:rFonts w:asciiTheme="majorHAnsi" w:hAnsiTheme="majorHAnsi"/>
              </w:rPr>
              <w:t>50,1</w:t>
            </w:r>
          </w:p>
        </w:tc>
        <w:tc>
          <w:tcPr>
            <w:tcW w:w="567" w:type="dxa"/>
            <w:tcBorders>
              <w:top w:val="double" w:sz="4" w:space="0" w:color="auto"/>
            </w:tcBorders>
            <w:vAlign w:val="center"/>
          </w:tcPr>
          <w:p w:rsidR="005556A5" w:rsidRPr="005556A5" w:rsidRDefault="002A374B" w:rsidP="00670B0E">
            <w:pPr>
              <w:jc w:val="center"/>
              <w:rPr>
                <w:rFonts w:asciiTheme="majorHAnsi" w:hAnsiTheme="majorHAnsi"/>
              </w:rPr>
            </w:pPr>
            <w:r>
              <w:rPr>
                <w:rFonts w:asciiTheme="majorHAnsi" w:hAnsiTheme="majorHAnsi"/>
              </w:rPr>
              <w:t>50,2</w:t>
            </w:r>
          </w:p>
        </w:tc>
        <w:tc>
          <w:tcPr>
            <w:tcW w:w="567" w:type="dxa"/>
            <w:tcBorders>
              <w:top w:val="double" w:sz="4" w:space="0" w:color="auto"/>
            </w:tcBorders>
            <w:vAlign w:val="center"/>
          </w:tcPr>
          <w:p w:rsidR="005556A5" w:rsidRPr="005556A5" w:rsidRDefault="00433133" w:rsidP="00670B0E">
            <w:pPr>
              <w:jc w:val="center"/>
              <w:rPr>
                <w:rFonts w:asciiTheme="majorHAnsi" w:hAnsiTheme="majorHAnsi"/>
              </w:rPr>
            </w:pPr>
            <w:r>
              <w:rPr>
                <w:rFonts w:asciiTheme="majorHAnsi" w:hAnsiTheme="majorHAnsi"/>
              </w:rPr>
              <w:t>50,2</w:t>
            </w:r>
          </w:p>
        </w:tc>
        <w:tc>
          <w:tcPr>
            <w:tcW w:w="567" w:type="dxa"/>
            <w:tcBorders>
              <w:top w:val="double" w:sz="4" w:space="0" w:color="auto"/>
            </w:tcBorders>
            <w:vAlign w:val="center"/>
          </w:tcPr>
          <w:p w:rsidR="005556A5" w:rsidRPr="005556A5" w:rsidRDefault="000166A8" w:rsidP="00670B0E">
            <w:pPr>
              <w:jc w:val="center"/>
              <w:rPr>
                <w:rFonts w:asciiTheme="majorHAnsi" w:hAnsiTheme="majorHAnsi"/>
              </w:rPr>
            </w:pPr>
            <w:r>
              <w:rPr>
                <w:rFonts w:asciiTheme="majorHAnsi" w:hAnsiTheme="majorHAnsi"/>
              </w:rPr>
              <w:t>50,6</w:t>
            </w:r>
          </w:p>
        </w:tc>
        <w:tc>
          <w:tcPr>
            <w:tcW w:w="567" w:type="dxa"/>
            <w:tcBorders>
              <w:top w:val="double" w:sz="4" w:space="0" w:color="auto"/>
            </w:tcBorders>
            <w:vAlign w:val="center"/>
          </w:tcPr>
          <w:p w:rsidR="005556A5" w:rsidRPr="005556A5" w:rsidRDefault="000166A8" w:rsidP="00670B0E">
            <w:pPr>
              <w:jc w:val="center"/>
              <w:rPr>
                <w:rFonts w:asciiTheme="majorHAnsi" w:hAnsiTheme="majorHAnsi"/>
              </w:rPr>
            </w:pPr>
            <w:r>
              <w:rPr>
                <w:rFonts w:asciiTheme="majorHAnsi" w:hAnsiTheme="majorHAnsi"/>
              </w:rPr>
              <w:t>50,7</w:t>
            </w:r>
          </w:p>
        </w:tc>
        <w:tc>
          <w:tcPr>
            <w:tcW w:w="567" w:type="dxa"/>
            <w:tcBorders>
              <w:top w:val="double" w:sz="4" w:space="0" w:color="auto"/>
            </w:tcBorders>
            <w:vAlign w:val="center"/>
          </w:tcPr>
          <w:p w:rsidR="005556A5" w:rsidRPr="005556A5" w:rsidRDefault="00E62A81" w:rsidP="00670B0E">
            <w:pPr>
              <w:jc w:val="center"/>
              <w:rPr>
                <w:rFonts w:asciiTheme="majorHAnsi" w:hAnsiTheme="majorHAnsi"/>
              </w:rPr>
            </w:pPr>
            <w:r>
              <w:rPr>
                <w:rFonts w:asciiTheme="majorHAnsi" w:hAnsiTheme="majorHAnsi"/>
              </w:rPr>
              <w:t>50,8</w:t>
            </w:r>
          </w:p>
        </w:tc>
        <w:tc>
          <w:tcPr>
            <w:tcW w:w="567" w:type="dxa"/>
            <w:tcBorders>
              <w:top w:val="double" w:sz="4" w:space="0" w:color="auto"/>
            </w:tcBorders>
            <w:vAlign w:val="center"/>
          </w:tcPr>
          <w:p w:rsidR="005556A5" w:rsidRPr="005556A5" w:rsidRDefault="005556A5" w:rsidP="00670B0E">
            <w:pPr>
              <w:jc w:val="center"/>
              <w:rPr>
                <w:rFonts w:asciiTheme="majorHAnsi" w:hAnsiTheme="majorHAnsi"/>
              </w:rPr>
            </w:pPr>
            <w:r w:rsidRPr="005556A5">
              <w:rPr>
                <w:rFonts w:asciiTheme="majorHAnsi" w:hAnsiTheme="majorHAnsi"/>
              </w:rPr>
              <w:t>50,</w:t>
            </w:r>
            <w:r w:rsidR="00670B0E">
              <w:rPr>
                <w:rFonts w:asciiTheme="majorHAnsi" w:hAnsiTheme="majorHAnsi"/>
              </w:rPr>
              <w:t>7</w:t>
            </w:r>
          </w:p>
        </w:tc>
        <w:tc>
          <w:tcPr>
            <w:tcW w:w="567" w:type="dxa"/>
            <w:tcBorders>
              <w:top w:val="double" w:sz="4" w:space="0" w:color="auto"/>
            </w:tcBorders>
            <w:vAlign w:val="center"/>
          </w:tcPr>
          <w:p w:rsidR="005556A5" w:rsidRPr="005556A5" w:rsidRDefault="00CB7704" w:rsidP="00670B0E">
            <w:pPr>
              <w:jc w:val="center"/>
              <w:rPr>
                <w:rFonts w:asciiTheme="majorHAnsi" w:hAnsiTheme="majorHAnsi"/>
                <w:color w:val="000000" w:themeColor="text1"/>
              </w:rPr>
            </w:pPr>
            <w:r>
              <w:rPr>
                <w:rFonts w:asciiTheme="majorHAnsi" w:hAnsiTheme="majorHAnsi"/>
                <w:color w:val="000000" w:themeColor="text1"/>
              </w:rPr>
              <w:t>51,2</w:t>
            </w:r>
          </w:p>
        </w:tc>
        <w:tc>
          <w:tcPr>
            <w:tcW w:w="567" w:type="dxa"/>
            <w:tcBorders>
              <w:top w:val="double" w:sz="4" w:space="0" w:color="auto"/>
            </w:tcBorders>
            <w:vAlign w:val="center"/>
          </w:tcPr>
          <w:p w:rsidR="005556A5" w:rsidRPr="00AF2494" w:rsidRDefault="005556A5" w:rsidP="00616316">
            <w:pPr>
              <w:jc w:val="center"/>
              <w:rPr>
                <w:rFonts w:asciiTheme="majorHAnsi" w:hAnsiTheme="majorHAnsi"/>
              </w:rPr>
            </w:pPr>
            <w:r w:rsidRPr="00AF2494">
              <w:rPr>
                <w:rFonts w:asciiTheme="majorHAnsi" w:hAnsiTheme="majorHAnsi"/>
              </w:rPr>
              <w:t>5</w:t>
            </w:r>
            <w:r w:rsidR="00616316" w:rsidRPr="00AF2494">
              <w:rPr>
                <w:rFonts w:asciiTheme="majorHAnsi" w:hAnsiTheme="majorHAnsi"/>
              </w:rPr>
              <w:t>1,5</w:t>
            </w:r>
          </w:p>
        </w:tc>
        <w:tc>
          <w:tcPr>
            <w:tcW w:w="567" w:type="dxa"/>
            <w:tcBorders>
              <w:top w:val="double" w:sz="4" w:space="0" w:color="auto"/>
              <w:right w:val="single" w:sz="4" w:space="0" w:color="auto"/>
            </w:tcBorders>
            <w:vAlign w:val="center"/>
          </w:tcPr>
          <w:p w:rsidR="005556A5" w:rsidRPr="005556A5" w:rsidRDefault="005556A5" w:rsidP="00670B0E">
            <w:pPr>
              <w:jc w:val="center"/>
              <w:rPr>
                <w:rFonts w:asciiTheme="majorHAnsi" w:hAnsiTheme="majorHAnsi"/>
              </w:rPr>
            </w:pPr>
            <w:r w:rsidRPr="005556A5">
              <w:rPr>
                <w:rFonts w:asciiTheme="majorHAnsi" w:hAnsiTheme="majorHAnsi"/>
              </w:rPr>
              <w:t>50,</w:t>
            </w:r>
            <w:r w:rsidR="00AF2494">
              <w:rPr>
                <w:rFonts w:asciiTheme="majorHAnsi" w:hAnsiTheme="majorHAnsi"/>
              </w:rPr>
              <w:t>5</w:t>
            </w:r>
          </w:p>
        </w:tc>
        <w:tc>
          <w:tcPr>
            <w:tcW w:w="567" w:type="dxa"/>
            <w:tcBorders>
              <w:top w:val="double" w:sz="4" w:space="0" w:color="auto"/>
              <w:left w:val="nil"/>
              <w:right w:val="double" w:sz="4" w:space="0" w:color="auto"/>
            </w:tcBorders>
            <w:vAlign w:val="center"/>
          </w:tcPr>
          <w:p w:rsidR="005556A5" w:rsidRPr="00AD6C4A" w:rsidRDefault="002B33BB" w:rsidP="00F93AB1">
            <w:pPr>
              <w:jc w:val="center"/>
              <w:rPr>
                <w:rFonts w:asciiTheme="majorHAnsi" w:hAnsiTheme="majorHAnsi"/>
                <w:b/>
                <w:color w:val="FF0000"/>
              </w:rPr>
            </w:pPr>
            <w:r w:rsidRPr="00AD6C4A">
              <w:rPr>
                <w:rFonts w:asciiTheme="majorHAnsi" w:hAnsiTheme="majorHAnsi"/>
                <w:b/>
                <w:color w:val="FF0000"/>
              </w:rPr>
              <w:t>50,3</w:t>
            </w:r>
          </w:p>
        </w:tc>
      </w:tr>
      <w:tr w:rsidR="005556A5" w:rsidRPr="00BC38B2">
        <w:tc>
          <w:tcPr>
            <w:tcW w:w="3472" w:type="dxa"/>
            <w:tcBorders>
              <w:left w:val="double" w:sz="4" w:space="0" w:color="auto"/>
              <w:bottom w:val="double" w:sz="4" w:space="0" w:color="auto"/>
            </w:tcBorders>
            <w:vAlign w:val="center"/>
          </w:tcPr>
          <w:p w:rsidR="005556A5" w:rsidRPr="005556A5" w:rsidRDefault="005556A5" w:rsidP="00F93AB1">
            <w:pPr>
              <w:rPr>
                <w:rFonts w:asciiTheme="majorHAnsi" w:hAnsiTheme="majorHAnsi"/>
              </w:rPr>
            </w:pPr>
            <w:r w:rsidRPr="005556A5">
              <w:rPr>
                <w:rFonts w:asciiTheme="majorHAnsi" w:hAnsiTheme="majorHAnsi"/>
              </w:rPr>
              <w:t>VAB / Production totale</w:t>
            </w:r>
          </w:p>
        </w:tc>
        <w:tc>
          <w:tcPr>
            <w:tcW w:w="567" w:type="dxa"/>
            <w:tcBorders>
              <w:bottom w:val="double" w:sz="4" w:space="0" w:color="auto"/>
            </w:tcBorders>
            <w:vAlign w:val="center"/>
          </w:tcPr>
          <w:p w:rsidR="005556A5" w:rsidRPr="005556A5" w:rsidRDefault="00F91A20" w:rsidP="00670B0E">
            <w:pPr>
              <w:jc w:val="center"/>
              <w:rPr>
                <w:rFonts w:asciiTheme="majorHAnsi" w:hAnsiTheme="majorHAnsi"/>
              </w:rPr>
            </w:pPr>
            <w:r>
              <w:rPr>
                <w:rFonts w:asciiTheme="majorHAnsi" w:hAnsiTheme="majorHAnsi"/>
              </w:rPr>
              <w:t>39,7</w:t>
            </w:r>
          </w:p>
        </w:tc>
        <w:tc>
          <w:tcPr>
            <w:tcW w:w="567" w:type="dxa"/>
            <w:tcBorders>
              <w:bottom w:val="double" w:sz="4" w:space="0" w:color="auto"/>
            </w:tcBorders>
            <w:vAlign w:val="center"/>
          </w:tcPr>
          <w:p w:rsidR="005556A5" w:rsidRPr="005556A5" w:rsidRDefault="002A374B" w:rsidP="00670B0E">
            <w:pPr>
              <w:jc w:val="center"/>
              <w:rPr>
                <w:rFonts w:asciiTheme="majorHAnsi" w:hAnsiTheme="majorHAnsi"/>
              </w:rPr>
            </w:pPr>
            <w:r>
              <w:rPr>
                <w:rFonts w:asciiTheme="majorHAnsi" w:hAnsiTheme="majorHAnsi"/>
              </w:rPr>
              <w:t>39,7</w:t>
            </w:r>
          </w:p>
        </w:tc>
        <w:tc>
          <w:tcPr>
            <w:tcW w:w="567" w:type="dxa"/>
            <w:tcBorders>
              <w:bottom w:val="double" w:sz="4" w:space="0" w:color="auto"/>
            </w:tcBorders>
            <w:vAlign w:val="center"/>
          </w:tcPr>
          <w:p w:rsidR="005556A5" w:rsidRPr="005556A5" w:rsidRDefault="005556A5" w:rsidP="00670B0E">
            <w:pPr>
              <w:rPr>
                <w:rFonts w:asciiTheme="majorHAnsi" w:hAnsiTheme="majorHAnsi"/>
              </w:rPr>
            </w:pPr>
            <w:r w:rsidRPr="005556A5">
              <w:rPr>
                <w:rFonts w:asciiTheme="majorHAnsi" w:hAnsiTheme="majorHAnsi"/>
              </w:rPr>
              <w:t>40,4</w:t>
            </w:r>
          </w:p>
        </w:tc>
        <w:tc>
          <w:tcPr>
            <w:tcW w:w="567" w:type="dxa"/>
            <w:tcBorders>
              <w:bottom w:val="double" w:sz="4" w:space="0" w:color="auto"/>
            </w:tcBorders>
            <w:vAlign w:val="center"/>
          </w:tcPr>
          <w:p w:rsidR="005556A5" w:rsidRPr="005556A5" w:rsidRDefault="000166A8" w:rsidP="00670B0E">
            <w:pPr>
              <w:jc w:val="center"/>
              <w:rPr>
                <w:rFonts w:asciiTheme="majorHAnsi" w:hAnsiTheme="majorHAnsi"/>
              </w:rPr>
            </w:pPr>
            <w:r>
              <w:rPr>
                <w:rFonts w:asciiTheme="majorHAnsi" w:hAnsiTheme="majorHAnsi"/>
              </w:rPr>
              <w:t>41,1</w:t>
            </w:r>
          </w:p>
        </w:tc>
        <w:tc>
          <w:tcPr>
            <w:tcW w:w="567" w:type="dxa"/>
            <w:tcBorders>
              <w:bottom w:val="double" w:sz="4" w:space="0" w:color="auto"/>
            </w:tcBorders>
            <w:vAlign w:val="center"/>
          </w:tcPr>
          <w:p w:rsidR="005556A5" w:rsidRPr="005556A5" w:rsidRDefault="000166A8" w:rsidP="00670B0E">
            <w:pPr>
              <w:jc w:val="center"/>
              <w:rPr>
                <w:rFonts w:asciiTheme="majorHAnsi" w:hAnsiTheme="majorHAnsi"/>
              </w:rPr>
            </w:pPr>
            <w:r>
              <w:rPr>
                <w:rFonts w:asciiTheme="majorHAnsi" w:hAnsiTheme="majorHAnsi"/>
              </w:rPr>
              <w:t>40,8</w:t>
            </w:r>
          </w:p>
        </w:tc>
        <w:tc>
          <w:tcPr>
            <w:tcW w:w="567" w:type="dxa"/>
            <w:tcBorders>
              <w:bottom w:val="double" w:sz="4" w:space="0" w:color="auto"/>
            </w:tcBorders>
            <w:vAlign w:val="center"/>
          </w:tcPr>
          <w:p w:rsidR="005556A5" w:rsidRPr="005556A5" w:rsidRDefault="00E62A81" w:rsidP="00670B0E">
            <w:pPr>
              <w:jc w:val="center"/>
              <w:rPr>
                <w:rFonts w:asciiTheme="majorHAnsi" w:hAnsiTheme="majorHAnsi"/>
              </w:rPr>
            </w:pPr>
            <w:r>
              <w:rPr>
                <w:rFonts w:asciiTheme="majorHAnsi" w:hAnsiTheme="majorHAnsi"/>
              </w:rPr>
              <w:t>40,4</w:t>
            </w:r>
          </w:p>
        </w:tc>
        <w:tc>
          <w:tcPr>
            <w:tcW w:w="567" w:type="dxa"/>
            <w:tcBorders>
              <w:bottom w:val="double" w:sz="4" w:space="0" w:color="auto"/>
            </w:tcBorders>
            <w:vAlign w:val="center"/>
          </w:tcPr>
          <w:p w:rsidR="005556A5" w:rsidRPr="005556A5" w:rsidRDefault="005556A5" w:rsidP="00670B0E">
            <w:pPr>
              <w:jc w:val="center"/>
              <w:rPr>
                <w:rFonts w:asciiTheme="majorHAnsi" w:hAnsiTheme="majorHAnsi"/>
              </w:rPr>
            </w:pPr>
            <w:r w:rsidRPr="005556A5">
              <w:rPr>
                <w:rFonts w:asciiTheme="majorHAnsi" w:hAnsiTheme="majorHAnsi"/>
              </w:rPr>
              <w:t>39,</w:t>
            </w:r>
            <w:r w:rsidR="00670B0E">
              <w:rPr>
                <w:rFonts w:asciiTheme="majorHAnsi" w:hAnsiTheme="majorHAnsi"/>
              </w:rPr>
              <w:t>8</w:t>
            </w:r>
          </w:p>
        </w:tc>
        <w:tc>
          <w:tcPr>
            <w:tcW w:w="567" w:type="dxa"/>
            <w:tcBorders>
              <w:bottom w:val="double" w:sz="4" w:space="0" w:color="auto"/>
            </w:tcBorders>
            <w:vAlign w:val="center"/>
          </w:tcPr>
          <w:p w:rsidR="005556A5" w:rsidRPr="005556A5" w:rsidRDefault="005556A5" w:rsidP="00CB7704">
            <w:pPr>
              <w:jc w:val="center"/>
              <w:rPr>
                <w:rFonts w:asciiTheme="majorHAnsi" w:hAnsiTheme="majorHAnsi"/>
                <w:color w:val="000000" w:themeColor="text1"/>
              </w:rPr>
            </w:pPr>
            <w:r w:rsidRPr="005556A5">
              <w:rPr>
                <w:rFonts w:asciiTheme="majorHAnsi" w:hAnsiTheme="majorHAnsi"/>
                <w:color w:val="000000" w:themeColor="text1"/>
              </w:rPr>
              <w:t>39,</w:t>
            </w:r>
            <w:r w:rsidR="00CB7704">
              <w:rPr>
                <w:rFonts w:asciiTheme="majorHAnsi" w:hAnsiTheme="majorHAnsi"/>
                <w:color w:val="000000" w:themeColor="text1"/>
              </w:rPr>
              <w:t>8</w:t>
            </w:r>
          </w:p>
        </w:tc>
        <w:tc>
          <w:tcPr>
            <w:tcW w:w="567" w:type="dxa"/>
            <w:tcBorders>
              <w:bottom w:val="double" w:sz="4" w:space="0" w:color="auto"/>
            </w:tcBorders>
            <w:vAlign w:val="center"/>
          </w:tcPr>
          <w:p w:rsidR="005556A5" w:rsidRPr="00AF2494" w:rsidRDefault="00616316" w:rsidP="00670B0E">
            <w:pPr>
              <w:jc w:val="center"/>
              <w:rPr>
                <w:rFonts w:asciiTheme="majorHAnsi" w:hAnsiTheme="majorHAnsi"/>
              </w:rPr>
            </w:pPr>
            <w:r w:rsidRPr="00AF2494">
              <w:rPr>
                <w:rFonts w:asciiTheme="majorHAnsi" w:hAnsiTheme="majorHAnsi"/>
              </w:rPr>
              <w:t>39,7</w:t>
            </w:r>
          </w:p>
        </w:tc>
        <w:tc>
          <w:tcPr>
            <w:tcW w:w="567" w:type="dxa"/>
            <w:tcBorders>
              <w:bottom w:val="double" w:sz="4" w:space="0" w:color="auto"/>
              <w:right w:val="single" w:sz="4" w:space="0" w:color="auto"/>
            </w:tcBorders>
            <w:vAlign w:val="center"/>
          </w:tcPr>
          <w:p w:rsidR="005556A5" w:rsidRPr="005556A5" w:rsidRDefault="00AF2494" w:rsidP="00670B0E">
            <w:pPr>
              <w:jc w:val="center"/>
              <w:rPr>
                <w:rFonts w:asciiTheme="majorHAnsi" w:hAnsiTheme="majorHAnsi"/>
              </w:rPr>
            </w:pPr>
            <w:r>
              <w:rPr>
                <w:rFonts w:asciiTheme="majorHAnsi" w:hAnsiTheme="majorHAnsi"/>
              </w:rPr>
              <w:t>41,2</w:t>
            </w:r>
          </w:p>
        </w:tc>
        <w:tc>
          <w:tcPr>
            <w:tcW w:w="567" w:type="dxa"/>
            <w:tcBorders>
              <w:left w:val="nil"/>
              <w:bottom w:val="double" w:sz="4" w:space="0" w:color="auto"/>
              <w:right w:val="double" w:sz="4" w:space="0" w:color="auto"/>
            </w:tcBorders>
            <w:vAlign w:val="center"/>
          </w:tcPr>
          <w:p w:rsidR="005556A5" w:rsidRPr="00AD6C4A" w:rsidRDefault="002B33BB" w:rsidP="00F93AB1">
            <w:pPr>
              <w:jc w:val="center"/>
              <w:rPr>
                <w:rFonts w:asciiTheme="majorHAnsi" w:hAnsiTheme="majorHAnsi"/>
                <w:b/>
                <w:color w:val="FF0000"/>
              </w:rPr>
            </w:pPr>
            <w:r w:rsidRPr="00AD6C4A">
              <w:rPr>
                <w:rFonts w:asciiTheme="majorHAnsi" w:hAnsiTheme="majorHAnsi"/>
                <w:b/>
                <w:color w:val="FF0000"/>
              </w:rPr>
              <w:t>40,4</w:t>
            </w:r>
          </w:p>
        </w:tc>
      </w:tr>
      <w:tr w:rsidR="00F93AB1" w:rsidRPr="00BC38B2">
        <w:tc>
          <w:tcPr>
            <w:tcW w:w="9709" w:type="dxa"/>
            <w:gridSpan w:val="12"/>
            <w:tcBorders>
              <w:left w:val="double" w:sz="4" w:space="0" w:color="auto"/>
              <w:right w:val="double" w:sz="4" w:space="0" w:color="auto"/>
            </w:tcBorders>
            <w:vAlign w:val="center"/>
          </w:tcPr>
          <w:p w:rsidR="00F93AB1" w:rsidRPr="00AF2494" w:rsidRDefault="00F93AB1" w:rsidP="00F93AB1">
            <w:pPr>
              <w:jc w:val="center"/>
              <w:rPr>
                <w:rFonts w:asciiTheme="majorHAnsi" w:hAnsiTheme="majorHAnsi"/>
                <w:b/>
                <w:sz w:val="22"/>
              </w:rPr>
            </w:pPr>
            <w:r w:rsidRPr="00AF2494">
              <w:rPr>
                <w:rFonts w:asciiTheme="majorHAnsi" w:hAnsiTheme="majorHAnsi"/>
                <w:b/>
              </w:rPr>
              <w:t>Partage de la Valeur Ajoutée Brute</w:t>
            </w:r>
          </w:p>
        </w:tc>
      </w:tr>
      <w:tr w:rsidR="005556A5" w:rsidRPr="00BC38B2">
        <w:tc>
          <w:tcPr>
            <w:tcW w:w="3472" w:type="dxa"/>
            <w:tcBorders>
              <w:left w:val="double" w:sz="4" w:space="0" w:color="auto"/>
            </w:tcBorders>
            <w:vAlign w:val="center"/>
          </w:tcPr>
          <w:p w:rsidR="005556A5" w:rsidRPr="005556A5" w:rsidRDefault="005556A5" w:rsidP="00F93AB1">
            <w:pPr>
              <w:pStyle w:val="Heading4"/>
              <w:rPr>
                <w:rFonts w:asciiTheme="majorHAnsi" w:hAnsiTheme="majorHAnsi"/>
                <w:sz w:val="20"/>
              </w:rPr>
            </w:pPr>
            <w:r w:rsidRPr="005556A5">
              <w:rPr>
                <w:rFonts w:asciiTheme="majorHAnsi" w:hAnsiTheme="majorHAnsi"/>
                <w:sz w:val="20"/>
              </w:rPr>
              <w:t>Rémunérations des salariés / VAB</w:t>
            </w:r>
          </w:p>
        </w:tc>
        <w:tc>
          <w:tcPr>
            <w:tcW w:w="567" w:type="dxa"/>
            <w:vAlign w:val="center"/>
          </w:tcPr>
          <w:p w:rsidR="005556A5" w:rsidRPr="005556A5" w:rsidRDefault="00F91A20" w:rsidP="00670B0E">
            <w:pPr>
              <w:jc w:val="center"/>
              <w:rPr>
                <w:rFonts w:asciiTheme="majorHAnsi" w:hAnsiTheme="majorHAnsi"/>
              </w:rPr>
            </w:pPr>
            <w:r>
              <w:rPr>
                <w:rFonts w:asciiTheme="majorHAnsi" w:hAnsiTheme="majorHAnsi"/>
              </w:rPr>
              <w:t>65,1</w:t>
            </w:r>
          </w:p>
        </w:tc>
        <w:tc>
          <w:tcPr>
            <w:tcW w:w="567" w:type="dxa"/>
            <w:vAlign w:val="center"/>
          </w:tcPr>
          <w:p w:rsidR="005556A5" w:rsidRPr="005556A5" w:rsidRDefault="002A374B" w:rsidP="00670B0E">
            <w:pPr>
              <w:jc w:val="center"/>
              <w:rPr>
                <w:rFonts w:asciiTheme="majorHAnsi" w:hAnsiTheme="majorHAnsi"/>
              </w:rPr>
            </w:pPr>
            <w:r>
              <w:rPr>
                <w:rFonts w:asciiTheme="majorHAnsi" w:hAnsiTheme="majorHAnsi"/>
              </w:rPr>
              <w:t>65,3</w:t>
            </w:r>
          </w:p>
        </w:tc>
        <w:tc>
          <w:tcPr>
            <w:tcW w:w="567" w:type="dxa"/>
            <w:vAlign w:val="center"/>
          </w:tcPr>
          <w:p w:rsidR="005556A5" w:rsidRPr="005556A5" w:rsidRDefault="00433133" w:rsidP="00670B0E">
            <w:pPr>
              <w:jc w:val="center"/>
              <w:rPr>
                <w:rFonts w:asciiTheme="majorHAnsi" w:hAnsiTheme="majorHAnsi"/>
              </w:rPr>
            </w:pPr>
            <w:r>
              <w:rPr>
                <w:rFonts w:asciiTheme="majorHAnsi" w:hAnsiTheme="majorHAnsi"/>
              </w:rPr>
              <w:t>66,0</w:t>
            </w:r>
          </w:p>
        </w:tc>
        <w:tc>
          <w:tcPr>
            <w:tcW w:w="567" w:type="dxa"/>
            <w:vAlign w:val="center"/>
          </w:tcPr>
          <w:p w:rsidR="005556A5" w:rsidRPr="005556A5" w:rsidRDefault="000166A8" w:rsidP="00670B0E">
            <w:pPr>
              <w:jc w:val="center"/>
              <w:rPr>
                <w:rFonts w:asciiTheme="majorHAnsi" w:hAnsiTheme="majorHAnsi"/>
              </w:rPr>
            </w:pPr>
            <w:r>
              <w:rPr>
                <w:rFonts w:asciiTheme="majorHAnsi" w:hAnsiTheme="majorHAnsi"/>
              </w:rPr>
              <w:t>65,9</w:t>
            </w:r>
          </w:p>
        </w:tc>
        <w:tc>
          <w:tcPr>
            <w:tcW w:w="567" w:type="dxa"/>
            <w:vAlign w:val="center"/>
          </w:tcPr>
          <w:p w:rsidR="005556A5" w:rsidRPr="005556A5" w:rsidRDefault="000166A8" w:rsidP="00670B0E">
            <w:pPr>
              <w:jc w:val="center"/>
              <w:rPr>
                <w:rFonts w:asciiTheme="majorHAnsi" w:hAnsiTheme="majorHAnsi"/>
              </w:rPr>
            </w:pPr>
            <w:r>
              <w:rPr>
                <w:rFonts w:asciiTheme="majorHAnsi" w:hAnsiTheme="majorHAnsi"/>
              </w:rPr>
              <w:t>65,5</w:t>
            </w:r>
          </w:p>
        </w:tc>
        <w:tc>
          <w:tcPr>
            <w:tcW w:w="567" w:type="dxa"/>
            <w:vAlign w:val="center"/>
          </w:tcPr>
          <w:p w:rsidR="005556A5" w:rsidRPr="005556A5" w:rsidRDefault="00E62A81" w:rsidP="00670B0E">
            <w:pPr>
              <w:jc w:val="center"/>
              <w:rPr>
                <w:rFonts w:asciiTheme="majorHAnsi" w:hAnsiTheme="majorHAnsi"/>
              </w:rPr>
            </w:pPr>
            <w:r>
              <w:rPr>
                <w:rFonts w:asciiTheme="majorHAnsi" w:hAnsiTheme="majorHAnsi"/>
              </w:rPr>
              <w:t>65,3</w:t>
            </w:r>
          </w:p>
        </w:tc>
        <w:tc>
          <w:tcPr>
            <w:tcW w:w="567" w:type="dxa"/>
            <w:vAlign w:val="center"/>
          </w:tcPr>
          <w:p w:rsidR="005556A5" w:rsidRPr="005556A5" w:rsidRDefault="005556A5" w:rsidP="00670B0E">
            <w:pPr>
              <w:jc w:val="center"/>
              <w:rPr>
                <w:rFonts w:asciiTheme="majorHAnsi" w:hAnsiTheme="majorHAnsi"/>
              </w:rPr>
            </w:pPr>
            <w:r w:rsidRPr="005556A5">
              <w:rPr>
                <w:rFonts w:asciiTheme="majorHAnsi" w:hAnsiTheme="majorHAnsi"/>
              </w:rPr>
              <w:t>65,</w:t>
            </w:r>
            <w:r w:rsidR="00670B0E">
              <w:rPr>
                <w:rFonts w:asciiTheme="majorHAnsi" w:hAnsiTheme="majorHAnsi"/>
              </w:rPr>
              <w:t>6</w:t>
            </w:r>
          </w:p>
        </w:tc>
        <w:tc>
          <w:tcPr>
            <w:tcW w:w="567" w:type="dxa"/>
            <w:vAlign w:val="center"/>
          </w:tcPr>
          <w:p w:rsidR="005556A5" w:rsidRPr="005556A5" w:rsidRDefault="00CB7704" w:rsidP="00670B0E">
            <w:pPr>
              <w:jc w:val="center"/>
              <w:rPr>
                <w:rFonts w:asciiTheme="majorHAnsi" w:hAnsiTheme="majorHAnsi"/>
                <w:color w:val="000000" w:themeColor="text1"/>
              </w:rPr>
            </w:pPr>
            <w:r>
              <w:rPr>
                <w:rFonts w:asciiTheme="majorHAnsi" w:hAnsiTheme="majorHAnsi"/>
                <w:color w:val="000000" w:themeColor="text1"/>
              </w:rPr>
              <w:t>64,6</w:t>
            </w:r>
          </w:p>
        </w:tc>
        <w:tc>
          <w:tcPr>
            <w:tcW w:w="567" w:type="dxa"/>
            <w:vAlign w:val="center"/>
          </w:tcPr>
          <w:p w:rsidR="005556A5" w:rsidRPr="00AF2494" w:rsidRDefault="00616316" w:rsidP="00670B0E">
            <w:pPr>
              <w:jc w:val="center"/>
              <w:rPr>
                <w:rFonts w:asciiTheme="majorHAnsi" w:hAnsiTheme="majorHAnsi"/>
              </w:rPr>
            </w:pPr>
            <w:r w:rsidRPr="00AF2494">
              <w:rPr>
                <w:rFonts w:asciiTheme="majorHAnsi" w:hAnsiTheme="majorHAnsi"/>
              </w:rPr>
              <w:t>64,9</w:t>
            </w:r>
          </w:p>
        </w:tc>
        <w:tc>
          <w:tcPr>
            <w:tcW w:w="567" w:type="dxa"/>
            <w:tcBorders>
              <w:right w:val="single" w:sz="4" w:space="0" w:color="auto"/>
            </w:tcBorders>
            <w:vAlign w:val="center"/>
          </w:tcPr>
          <w:p w:rsidR="005556A5" w:rsidRPr="005556A5" w:rsidRDefault="005556A5" w:rsidP="00670B0E">
            <w:pPr>
              <w:jc w:val="center"/>
              <w:rPr>
                <w:rFonts w:asciiTheme="majorHAnsi" w:hAnsiTheme="majorHAnsi"/>
              </w:rPr>
            </w:pPr>
            <w:r w:rsidRPr="005556A5">
              <w:rPr>
                <w:rFonts w:asciiTheme="majorHAnsi" w:hAnsiTheme="majorHAnsi"/>
              </w:rPr>
              <w:t>66,</w:t>
            </w:r>
            <w:r w:rsidR="00AF2494">
              <w:rPr>
                <w:rFonts w:asciiTheme="majorHAnsi" w:hAnsiTheme="majorHAnsi"/>
              </w:rPr>
              <w:t>7</w:t>
            </w:r>
          </w:p>
        </w:tc>
        <w:tc>
          <w:tcPr>
            <w:tcW w:w="567" w:type="dxa"/>
            <w:tcBorders>
              <w:left w:val="nil"/>
              <w:right w:val="double" w:sz="4" w:space="0" w:color="auto"/>
            </w:tcBorders>
            <w:vAlign w:val="center"/>
          </w:tcPr>
          <w:p w:rsidR="005556A5" w:rsidRPr="00AD6C4A" w:rsidRDefault="002B33BB" w:rsidP="00F93AB1">
            <w:pPr>
              <w:jc w:val="center"/>
              <w:rPr>
                <w:rFonts w:asciiTheme="majorHAnsi" w:hAnsiTheme="majorHAnsi"/>
                <w:b/>
                <w:color w:val="FF0000"/>
              </w:rPr>
            </w:pPr>
            <w:r w:rsidRPr="00AD6C4A">
              <w:rPr>
                <w:rFonts w:asciiTheme="majorHAnsi" w:hAnsiTheme="majorHAnsi"/>
                <w:b/>
                <w:color w:val="FF0000"/>
              </w:rPr>
              <w:t>66,8</w:t>
            </w:r>
          </w:p>
        </w:tc>
      </w:tr>
      <w:tr w:rsidR="005556A5" w:rsidRPr="00BC38B2">
        <w:tc>
          <w:tcPr>
            <w:tcW w:w="3472" w:type="dxa"/>
            <w:tcBorders>
              <w:left w:val="double" w:sz="4" w:space="0" w:color="auto"/>
            </w:tcBorders>
            <w:vAlign w:val="center"/>
          </w:tcPr>
          <w:p w:rsidR="005556A5" w:rsidRPr="005556A5" w:rsidRDefault="005556A5" w:rsidP="00F93AB1">
            <w:pPr>
              <w:rPr>
                <w:rFonts w:asciiTheme="majorHAnsi" w:hAnsiTheme="majorHAnsi"/>
              </w:rPr>
            </w:pPr>
            <w:r w:rsidRPr="005556A5">
              <w:rPr>
                <w:rFonts w:asciiTheme="majorHAnsi" w:hAnsiTheme="majorHAnsi"/>
              </w:rPr>
              <w:t>Impôts sur la production nets /VAB</w:t>
            </w:r>
          </w:p>
        </w:tc>
        <w:tc>
          <w:tcPr>
            <w:tcW w:w="567" w:type="dxa"/>
            <w:vAlign w:val="center"/>
          </w:tcPr>
          <w:p w:rsidR="005556A5" w:rsidRPr="005556A5" w:rsidRDefault="005556A5" w:rsidP="00670B0E">
            <w:pPr>
              <w:jc w:val="center"/>
              <w:rPr>
                <w:rFonts w:asciiTheme="majorHAnsi" w:hAnsiTheme="majorHAnsi"/>
              </w:rPr>
            </w:pPr>
            <w:r w:rsidRPr="005556A5">
              <w:rPr>
                <w:rFonts w:asciiTheme="majorHAnsi" w:hAnsiTheme="majorHAnsi"/>
              </w:rPr>
              <w:t>4,2</w:t>
            </w:r>
          </w:p>
        </w:tc>
        <w:tc>
          <w:tcPr>
            <w:tcW w:w="567" w:type="dxa"/>
            <w:vAlign w:val="center"/>
          </w:tcPr>
          <w:p w:rsidR="005556A5" w:rsidRPr="005556A5" w:rsidRDefault="005556A5" w:rsidP="00670B0E">
            <w:pPr>
              <w:jc w:val="center"/>
              <w:rPr>
                <w:rFonts w:asciiTheme="majorHAnsi" w:hAnsiTheme="majorHAnsi"/>
              </w:rPr>
            </w:pPr>
            <w:r w:rsidRPr="005556A5">
              <w:rPr>
                <w:rFonts w:asciiTheme="majorHAnsi" w:hAnsiTheme="majorHAnsi"/>
              </w:rPr>
              <w:t>3,9</w:t>
            </w:r>
          </w:p>
        </w:tc>
        <w:tc>
          <w:tcPr>
            <w:tcW w:w="567" w:type="dxa"/>
            <w:vAlign w:val="center"/>
          </w:tcPr>
          <w:p w:rsidR="005556A5" w:rsidRPr="005556A5" w:rsidRDefault="005556A5" w:rsidP="00670B0E">
            <w:pPr>
              <w:jc w:val="center"/>
              <w:rPr>
                <w:rFonts w:asciiTheme="majorHAnsi" w:hAnsiTheme="majorHAnsi"/>
              </w:rPr>
            </w:pPr>
            <w:r w:rsidRPr="005556A5">
              <w:rPr>
                <w:rFonts w:asciiTheme="majorHAnsi" w:hAnsiTheme="majorHAnsi"/>
              </w:rPr>
              <w:t>3,9</w:t>
            </w:r>
          </w:p>
        </w:tc>
        <w:tc>
          <w:tcPr>
            <w:tcW w:w="567" w:type="dxa"/>
            <w:vAlign w:val="center"/>
          </w:tcPr>
          <w:p w:rsidR="005556A5" w:rsidRPr="005556A5" w:rsidRDefault="00433133" w:rsidP="00670B0E">
            <w:pPr>
              <w:jc w:val="center"/>
              <w:rPr>
                <w:rFonts w:asciiTheme="majorHAnsi" w:hAnsiTheme="majorHAnsi"/>
              </w:rPr>
            </w:pPr>
            <w:r>
              <w:rPr>
                <w:rFonts w:asciiTheme="majorHAnsi" w:hAnsiTheme="majorHAnsi"/>
              </w:rPr>
              <w:t>3,7</w:t>
            </w:r>
          </w:p>
        </w:tc>
        <w:tc>
          <w:tcPr>
            <w:tcW w:w="567" w:type="dxa"/>
            <w:vAlign w:val="center"/>
          </w:tcPr>
          <w:p w:rsidR="005556A5" w:rsidRPr="005556A5" w:rsidRDefault="005556A5" w:rsidP="00670B0E">
            <w:pPr>
              <w:jc w:val="center"/>
              <w:rPr>
                <w:rFonts w:asciiTheme="majorHAnsi" w:hAnsiTheme="majorHAnsi"/>
              </w:rPr>
            </w:pPr>
            <w:r w:rsidRPr="005556A5">
              <w:rPr>
                <w:rFonts w:asciiTheme="majorHAnsi" w:hAnsiTheme="majorHAnsi"/>
              </w:rPr>
              <w:t>3,9</w:t>
            </w:r>
          </w:p>
        </w:tc>
        <w:tc>
          <w:tcPr>
            <w:tcW w:w="567" w:type="dxa"/>
            <w:vAlign w:val="center"/>
          </w:tcPr>
          <w:p w:rsidR="005556A5" w:rsidRPr="005556A5" w:rsidRDefault="005556A5" w:rsidP="00670B0E">
            <w:pPr>
              <w:jc w:val="center"/>
              <w:rPr>
                <w:rFonts w:asciiTheme="majorHAnsi" w:hAnsiTheme="majorHAnsi"/>
              </w:rPr>
            </w:pPr>
            <w:r w:rsidRPr="005556A5">
              <w:rPr>
                <w:rFonts w:asciiTheme="majorHAnsi" w:hAnsiTheme="majorHAnsi"/>
              </w:rPr>
              <w:t>4,2</w:t>
            </w:r>
          </w:p>
        </w:tc>
        <w:tc>
          <w:tcPr>
            <w:tcW w:w="567" w:type="dxa"/>
            <w:vAlign w:val="center"/>
          </w:tcPr>
          <w:p w:rsidR="005556A5" w:rsidRPr="005556A5" w:rsidRDefault="005556A5" w:rsidP="00670B0E">
            <w:pPr>
              <w:jc w:val="center"/>
              <w:rPr>
                <w:rFonts w:asciiTheme="majorHAnsi" w:hAnsiTheme="majorHAnsi"/>
              </w:rPr>
            </w:pPr>
            <w:r w:rsidRPr="005556A5">
              <w:rPr>
                <w:rFonts w:asciiTheme="majorHAnsi" w:hAnsiTheme="majorHAnsi"/>
              </w:rPr>
              <w:t>3,6</w:t>
            </w:r>
          </w:p>
        </w:tc>
        <w:tc>
          <w:tcPr>
            <w:tcW w:w="567" w:type="dxa"/>
            <w:vAlign w:val="center"/>
          </w:tcPr>
          <w:p w:rsidR="005556A5" w:rsidRPr="005556A5" w:rsidRDefault="005556A5" w:rsidP="00670B0E">
            <w:pPr>
              <w:jc w:val="center"/>
              <w:rPr>
                <w:rFonts w:asciiTheme="majorHAnsi" w:hAnsiTheme="majorHAnsi"/>
                <w:color w:val="000000" w:themeColor="text1"/>
              </w:rPr>
            </w:pPr>
            <w:r w:rsidRPr="005556A5">
              <w:rPr>
                <w:rFonts w:asciiTheme="majorHAnsi" w:hAnsiTheme="majorHAnsi"/>
                <w:color w:val="000000" w:themeColor="text1"/>
              </w:rPr>
              <w:t>3,7</w:t>
            </w:r>
          </w:p>
        </w:tc>
        <w:tc>
          <w:tcPr>
            <w:tcW w:w="567" w:type="dxa"/>
            <w:vAlign w:val="center"/>
          </w:tcPr>
          <w:p w:rsidR="005556A5" w:rsidRPr="00AF2494" w:rsidRDefault="005556A5" w:rsidP="00670B0E">
            <w:pPr>
              <w:jc w:val="center"/>
              <w:rPr>
                <w:rFonts w:asciiTheme="majorHAnsi" w:hAnsiTheme="majorHAnsi"/>
              </w:rPr>
            </w:pPr>
            <w:r w:rsidRPr="00AF2494">
              <w:rPr>
                <w:rFonts w:asciiTheme="majorHAnsi" w:hAnsiTheme="majorHAnsi"/>
              </w:rPr>
              <w:t>3,6</w:t>
            </w:r>
          </w:p>
        </w:tc>
        <w:tc>
          <w:tcPr>
            <w:tcW w:w="567" w:type="dxa"/>
            <w:tcBorders>
              <w:right w:val="single" w:sz="4" w:space="0" w:color="auto"/>
            </w:tcBorders>
            <w:vAlign w:val="center"/>
          </w:tcPr>
          <w:p w:rsidR="005556A5" w:rsidRPr="005556A5" w:rsidRDefault="00AF2494" w:rsidP="00670B0E">
            <w:pPr>
              <w:jc w:val="center"/>
              <w:rPr>
                <w:rFonts w:asciiTheme="majorHAnsi" w:hAnsiTheme="majorHAnsi"/>
              </w:rPr>
            </w:pPr>
            <w:r>
              <w:rPr>
                <w:rFonts w:asciiTheme="majorHAnsi" w:hAnsiTheme="majorHAnsi"/>
              </w:rPr>
              <w:t>4,0</w:t>
            </w:r>
          </w:p>
        </w:tc>
        <w:tc>
          <w:tcPr>
            <w:tcW w:w="567" w:type="dxa"/>
            <w:tcBorders>
              <w:left w:val="nil"/>
              <w:right w:val="double" w:sz="4" w:space="0" w:color="auto"/>
            </w:tcBorders>
            <w:vAlign w:val="center"/>
          </w:tcPr>
          <w:p w:rsidR="005556A5" w:rsidRPr="00AD6C4A" w:rsidRDefault="002B33BB" w:rsidP="00F93AB1">
            <w:pPr>
              <w:jc w:val="center"/>
              <w:rPr>
                <w:rFonts w:asciiTheme="majorHAnsi" w:hAnsiTheme="majorHAnsi"/>
                <w:b/>
                <w:color w:val="FF0000"/>
              </w:rPr>
            </w:pPr>
            <w:r w:rsidRPr="00AD6C4A">
              <w:rPr>
                <w:rFonts w:asciiTheme="majorHAnsi" w:hAnsiTheme="majorHAnsi"/>
                <w:b/>
                <w:color w:val="FF0000"/>
              </w:rPr>
              <w:t>3,1</w:t>
            </w:r>
          </w:p>
        </w:tc>
      </w:tr>
      <w:tr w:rsidR="005556A5" w:rsidRPr="00BC38B2">
        <w:tc>
          <w:tcPr>
            <w:tcW w:w="3472" w:type="dxa"/>
            <w:tcBorders>
              <w:left w:val="double" w:sz="4" w:space="0" w:color="auto"/>
              <w:bottom w:val="double" w:sz="4" w:space="0" w:color="auto"/>
            </w:tcBorders>
            <w:vAlign w:val="center"/>
          </w:tcPr>
          <w:p w:rsidR="005556A5" w:rsidRPr="005556A5" w:rsidRDefault="005556A5" w:rsidP="00F93AB1">
            <w:pPr>
              <w:rPr>
                <w:rFonts w:asciiTheme="majorHAnsi" w:hAnsiTheme="majorHAnsi"/>
              </w:rPr>
            </w:pPr>
            <w:r w:rsidRPr="005556A5">
              <w:rPr>
                <w:rFonts w:asciiTheme="majorHAnsi" w:hAnsiTheme="majorHAnsi"/>
              </w:rPr>
              <w:t>Taux de marge  (EBE / VAB)</w:t>
            </w:r>
          </w:p>
        </w:tc>
        <w:tc>
          <w:tcPr>
            <w:tcW w:w="567" w:type="dxa"/>
            <w:tcBorders>
              <w:bottom w:val="double" w:sz="4" w:space="0" w:color="auto"/>
            </w:tcBorders>
            <w:vAlign w:val="center"/>
          </w:tcPr>
          <w:p w:rsidR="005556A5" w:rsidRPr="005556A5" w:rsidRDefault="002B33BB" w:rsidP="00670B0E">
            <w:pPr>
              <w:jc w:val="center"/>
              <w:rPr>
                <w:rFonts w:asciiTheme="majorHAnsi" w:hAnsiTheme="majorHAnsi"/>
              </w:rPr>
            </w:pPr>
            <w:r>
              <w:rPr>
                <w:rFonts w:asciiTheme="majorHAnsi" w:hAnsiTheme="majorHAnsi"/>
              </w:rPr>
              <w:t>30,7</w:t>
            </w:r>
          </w:p>
        </w:tc>
        <w:tc>
          <w:tcPr>
            <w:tcW w:w="567" w:type="dxa"/>
            <w:tcBorders>
              <w:bottom w:val="double" w:sz="4" w:space="0" w:color="auto"/>
            </w:tcBorders>
            <w:vAlign w:val="center"/>
          </w:tcPr>
          <w:p w:rsidR="005556A5" w:rsidRPr="005556A5" w:rsidRDefault="002A374B" w:rsidP="00670B0E">
            <w:pPr>
              <w:jc w:val="center"/>
              <w:rPr>
                <w:rFonts w:asciiTheme="majorHAnsi" w:hAnsiTheme="majorHAnsi"/>
              </w:rPr>
            </w:pPr>
            <w:r>
              <w:rPr>
                <w:rFonts w:asciiTheme="majorHAnsi" w:hAnsiTheme="majorHAnsi"/>
              </w:rPr>
              <w:t>30,8</w:t>
            </w:r>
          </w:p>
        </w:tc>
        <w:tc>
          <w:tcPr>
            <w:tcW w:w="567" w:type="dxa"/>
            <w:tcBorders>
              <w:bottom w:val="double" w:sz="4" w:space="0" w:color="auto"/>
            </w:tcBorders>
            <w:vAlign w:val="center"/>
          </w:tcPr>
          <w:p w:rsidR="005556A5" w:rsidRPr="005556A5" w:rsidRDefault="00433133" w:rsidP="00670B0E">
            <w:pPr>
              <w:jc w:val="center"/>
              <w:rPr>
                <w:rFonts w:asciiTheme="majorHAnsi" w:hAnsiTheme="majorHAnsi"/>
              </w:rPr>
            </w:pPr>
            <w:r>
              <w:rPr>
                <w:rFonts w:asciiTheme="majorHAnsi" w:hAnsiTheme="majorHAnsi"/>
              </w:rPr>
              <w:t>30,1</w:t>
            </w:r>
          </w:p>
        </w:tc>
        <w:tc>
          <w:tcPr>
            <w:tcW w:w="567" w:type="dxa"/>
            <w:tcBorders>
              <w:bottom w:val="double" w:sz="4" w:space="0" w:color="auto"/>
            </w:tcBorders>
            <w:vAlign w:val="center"/>
          </w:tcPr>
          <w:p w:rsidR="005556A5" w:rsidRPr="005556A5" w:rsidRDefault="00433133" w:rsidP="00670B0E">
            <w:pPr>
              <w:jc w:val="center"/>
              <w:rPr>
                <w:rFonts w:asciiTheme="majorHAnsi" w:hAnsiTheme="majorHAnsi"/>
              </w:rPr>
            </w:pPr>
            <w:r>
              <w:rPr>
                <w:rFonts w:asciiTheme="majorHAnsi" w:hAnsiTheme="majorHAnsi"/>
              </w:rPr>
              <w:t>30,4</w:t>
            </w:r>
          </w:p>
        </w:tc>
        <w:tc>
          <w:tcPr>
            <w:tcW w:w="567" w:type="dxa"/>
            <w:tcBorders>
              <w:bottom w:val="double" w:sz="4" w:space="0" w:color="auto"/>
            </w:tcBorders>
            <w:vAlign w:val="center"/>
          </w:tcPr>
          <w:p w:rsidR="005556A5" w:rsidRPr="005556A5" w:rsidRDefault="000166A8" w:rsidP="00670B0E">
            <w:pPr>
              <w:jc w:val="center"/>
              <w:rPr>
                <w:rFonts w:asciiTheme="majorHAnsi" w:hAnsiTheme="majorHAnsi"/>
              </w:rPr>
            </w:pPr>
            <w:r>
              <w:rPr>
                <w:rFonts w:asciiTheme="majorHAnsi" w:hAnsiTheme="majorHAnsi"/>
              </w:rPr>
              <w:t>30,6</w:t>
            </w:r>
          </w:p>
        </w:tc>
        <w:tc>
          <w:tcPr>
            <w:tcW w:w="567" w:type="dxa"/>
            <w:tcBorders>
              <w:bottom w:val="double" w:sz="4" w:space="0" w:color="auto"/>
            </w:tcBorders>
            <w:vAlign w:val="center"/>
          </w:tcPr>
          <w:p w:rsidR="005556A5" w:rsidRPr="005556A5" w:rsidRDefault="00E62A81" w:rsidP="00670B0E">
            <w:pPr>
              <w:jc w:val="center"/>
              <w:rPr>
                <w:rFonts w:asciiTheme="majorHAnsi" w:hAnsiTheme="majorHAnsi"/>
              </w:rPr>
            </w:pPr>
            <w:r>
              <w:rPr>
                <w:rFonts w:asciiTheme="majorHAnsi" w:hAnsiTheme="majorHAnsi"/>
              </w:rPr>
              <w:t>30,5</w:t>
            </w:r>
          </w:p>
        </w:tc>
        <w:tc>
          <w:tcPr>
            <w:tcW w:w="567" w:type="dxa"/>
            <w:tcBorders>
              <w:bottom w:val="double" w:sz="4" w:space="0" w:color="auto"/>
            </w:tcBorders>
            <w:vAlign w:val="center"/>
          </w:tcPr>
          <w:p w:rsidR="005556A5" w:rsidRPr="005556A5" w:rsidRDefault="005556A5" w:rsidP="00670B0E">
            <w:pPr>
              <w:jc w:val="center"/>
              <w:rPr>
                <w:rFonts w:asciiTheme="majorHAnsi" w:hAnsiTheme="majorHAnsi"/>
              </w:rPr>
            </w:pPr>
            <w:r w:rsidRPr="005556A5">
              <w:rPr>
                <w:rFonts w:asciiTheme="majorHAnsi" w:hAnsiTheme="majorHAnsi"/>
              </w:rPr>
              <w:t>3</w:t>
            </w:r>
            <w:r w:rsidR="00670B0E">
              <w:rPr>
                <w:rFonts w:asciiTheme="majorHAnsi" w:hAnsiTheme="majorHAnsi"/>
              </w:rPr>
              <w:t>0,8</w:t>
            </w:r>
          </w:p>
        </w:tc>
        <w:tc>
          <w:tcPr>
            <w:tcW w:w="567" w:type="dxa"/>
            <w:tcBorders>
              <w:bottom w:val="double" w:sz="4" w:space="0" w:color="auto"/>
            </w:tcBorders>
            <w:vAlign w:val="center"/>
          </w:tcPr>
          <w:p w:rsidR="005556A5" w:rsidRPr="005556A5" w:rsidRDefault="005556A5" w:rsidP="00670B0E">
            <w:pPr>
              <w:jc w:val="center"/>
              <w:rPr>
                <w:rFonts w:asciiTheme="majorHAnsi" w:hAnsiTheme="majorHAnsi"/>
                <w:color w:val="000000" w:themeColor="text1"/>
              </w:rPr>
            </w:pPr>
            <w:r w:rsidRPr="005556A5">
              <w:rPr>
                <w:rFonts w:asciiTheme="majorHAnsi" w:hAnsiTheme="majorHAnsi"/>
                <w:color w:val="000000" w:themeColor="text1"/>
              </w:rPr>
              <w:t>31,</w:t>
            </w:r>
            <w:r w:rsidR="00CB7704">
              <w:rPr>
                <w:rFonts w:asciiTheme="majorHAnsi" w:hAnsiTheme="majorHAnsi"/>
                <w:color w:val="000000" w:themeColor="text1"/>
              </w:rPr>
              <w:t>7</w:t>
            </w:r>
          </w:p>
        </w:tc>
        <w:tc>
          <w:tcPr>
            <w:tcW w:w="567" w:type="dxa"/>
            <w:tcBorders>
              <w:bottom w:val="double" w:sz="4" w:space="0" w:color="auto"/>
            </w:tcBorders>
            <w:vAlign w:val="center"/>
          </w:tcPr>
          <w:p w:rsidR="005556A5" w:rsidRPr="00AF2494" w:rsidRDefault="00616316" w:rsidP="00670B0E">
            <w:pPr>
              <w:jc w:val="center"/>
              <w:rPr>
                <w:rFonts w:asciiTheme="majorHAnsi" w:hAnsiTheme="majorHAnsi"/>
              </w:rPr>
            </w:pPr>
            <w:r w:rsidRPr="00AF2494">
              <w:rPr>
                <w:rFonts w:asciiTheme="majorHAnsi" w:hAnsiTheme="majorHAnsi"/>
              </w:rPr>
              <w:t>31,5</w:t>
            </w:r>
          </w:p>
        </w:tc>
        <w:tc>
          <w:tcPr>
            <w:tcW w:w="567" w:type="dxa"/>
            <w:tcBorders>
              <w:bottom w:val="double" w:sz="4" w:space="0" w:color="auto"/>
              <w:right w:val="single" w:sz="4" w:space="0" w:color="auto"/>
            </w:tcBorders>
            <w:vAlign w:val="center"/>
          </w:tcPr>
          <w:p w:rsidR="005556A5" w:rsidRPr="005556A5" w:rsidRDefault="005556A5" w:rsidP="00670B0E">
            <w:pPr>
              <w:jc w:val="center"/>
              <w:rPr>
                <w:rFonts w:asciiTheme="majorHAnsi" w:hAnsiTheme="majorHAnsi"/>
              </w:rPr>
            </w:pPr>
            <w:r w:rsidRPr="005556A5">
              <w:rPr>
                <w:rFonts w:asciiTheme="majorHAnsi" w:hAnsiTheme="majorHAnsi"/>
              </w:rPr>
              <w:t>29,</w:t>
            </w:r>
            <w:r w:rsidR="00AF2494">
              <w:rPr>
                <w:rFonts w:asciiTheme="majorHAnsi" w:hAnsiTheme="majorHAnsi"/>
              </w:rPr>
              <w:t>2</w:t>
            </w:r>
          </w:p>
        </w:tc>
        <w:tc>
          <w:tcPr>
            <w:tcW w:w="567" w:type="dxa"/>
            <w:tcBorders>
              <w:left w:val="nil"/>
              <w:bottom w:val="double" w:sz="4" w:space="0" w:color="auto"/>
              <w:right w:val="double" w:sz="4" w:space="0" w:color="auto"/>
            </w:tcBorders>
            <w:vAlign w:val="center"/>
          </w:tcPr>
          <w:p w:rsidR="005556A5" w:rsidRPr="00AD6C4A" w:rsidRDefault="002B33BB" w:rsidP="00F93AB1">
            <w:pPr>
              <w:jc w:val="center"/>
              <w:rPr>
                <w:rFonts w:asciiTheme="majorHAnsi" w:hAnsiTheme="majorHAnsi"/>
                <w:b/>
                <w:color w:val="FF0000"/>
              </w:rPr>
            </w:pPr>
            <w:r w:rsidRPr="00AD6C4A">
              <w:rPr>
                <w:rFonts w:asciiTheme="majorHAnsi" w:hAnsiTheme="majorHAnsi"/>
                <w:b/>
                <w:color w:val="FF0000"/>
              </w:rPr>
              <w:t>30,2</w:t>
            </w:r>
          </w:p>
        </w:tc>
      </w:tr>
      <w:tr w:rsidR="00F93AB1" w:rsidRPr="00BC38B2">
        <w:tc>
          <w:tcPr>
            <w:tcW w:w="9709" w:type="dxa"/>
            <w:gridSpan w:val="12"/>
            <w:tcBorders>
              <w:left w:val="double" w:sz="4" w:space="0" w:color="auto"/>
              <w:right w:val="double" w:sz="4" w:space="0" w:color="auto"/>
            </w:tcBorders>
            <w:vAlign w:val="center"/>
          </w:tcPr>
          <w:p w:rsidR="00F93AB1" w:rsidRPr="00AF2494" w:rsidRDefault="00F93AB1" w:rsidP="00F93AB1">
            <w:pPr>
              <w:jc w:val="center"/>
              <w:rPr>
                <w:rFonts w:asciiTheme="majorHAnsi" w:hAnsiTheme="majorHAnsi"/>
                <w:b/>
                <w:sz w:val="22"/>
              </w:rPr>
            </w:pPr>
            <w:r w:rsidRPr="00AF2494">
              <w:rPr>
                <w:rFonts w:asciiTheme="majorHAnsi" w:hAnsiTheme="majorHAnsi"/>
                <w:b/>
              </w:rPr>
              <w:t>Partage de l’EBE : Formation du Solde Brut des Revenus Primaires</w:t>
            </w:r>
          </w:p>
        </w:tc>
      </w:tr>
      <w:tr w:rsidR="005556A5" w:rsidRPr="00BC38B2">
        <w:tc>
          <w:tcPr>
            <w:tcW w:w="3472" w:type="dxa"/>
            <w:tcBorders>
              <w:left w:val="double" w:sz="4" w:space="0" w:color="auto"/>
            </w:tcBorders>
            <w:vAlign w:val="center"/>
          </w:tcPr>
          <w:p w:rsidR="005556A5" w:rsidRPr="005556A5" w:rsidRDefault="005556A5" w:rsidP="00F93AB1">
            <w:pPr>
              <w:rPr>
                <w:rFonts w:asciiTheme="majorHAnsi" w:hAnsiTheme="majorHAnsi"/>
              </w:rPr>
            </w:pPr>
            <w:r w:rsidRPr="005556A5">
              <w:rPr>
                <w:rFonts w:asciiTheme="majorHAnsi" w:hAnsiTheme="majorHAnsi"/>
              </w:rPr>
              <w:t>Intérêts versés / VAB</w:t>
            </w:r>
          </w:p>
        </w:tc>
        <w:tc>
          <w:tcPr>
            <w:tcW w:w="567" w:type="dxa"/>
            <w:vAlign w:val="center"/>
          </w:tcPr>
          <w:p w:rsidR="005556A5" w:rsidRPr="005556A5" w:rsidRDefault="002B33BB" w:rsidP="00670B0E">
            <w:pPr>
              <w:jc w:val="center"/>
              <w:rPr>
                <w:rFonts w:asciiTheme="majorHAnsi" w:hAnsiTheme="majorHAnsi"/>
              </w:rPr>
            </w:pPr>
            <w:r>
              <w:rPr>
                <w:rFonts w:asciiTheme="majorHAnsi" w:hAnsiTheme="majorHAnsi"/>
              </w:rPr>
              <w:t>9,5</w:t>
            </w:r>
          </w:p>
        </w:tc>
        <w:tc>
          <w:tcPr>
            <w:tcW w:w="567" w:type="dxa"/>
            <w:vAlign w:val="center"/>
          </w:tcPr>
          <w:p w:rsidR="005556A5" w:rsidRPr="005556A5" w:rsidRDefault="002A374B" w:rsidP="00670B0E">
            <w:pPr>
              <w:jc w:val="center"/>
              <w:rPr>
                <w:rFonts w:asciiTheme="majorHAnsi" w:hAnsiTheme="majorHAnsi"/>
              </w:rPr>
            </w:pPr>
            <w:r>
              <w:rPr>
                <w:rFonts w:asciiTheme="majorHAnsi" w:hAnsiTheme="majorHAnsi"/>
              </w:rPr>
              <w:t>10,2</w:t>
            </w:r>
          </w:p>
        </w:tc>
        <w:tc>
          <w:tcPr>
            <w:tcW w:w="567" w:type="dxa"/>
            <w:vAlign w:val="center"/>
          </w:tcPr>
          <w:p w:rsidR="005556A5" w:rsidRPr="005556A5" w:rsidRDefault="00433133" w:rsidP="00670B0E">
            <w:pPr>
              <w:jc w:val="center"/>
              <w:rPr>
                <w:rFonts w:asciiTheme="majorHAnsi" w:hAnsiTheme="majorHAnsi"/>
              </w:rPr>
            </w:pPr>
            <w:r>
              <w:rPr>
                <w:rFonts w:asciiTheme="majorHAnsi" w:hAnsiTheme="majorHAnsi"/>
              </w:rPr>
              <w:t>9,9</w:t>
            </w:r>
          </w:p>
        </w:tc>
        <w:tc>
          <w:tcPr>
            <w:tcW w:w="567" w:type="dxa"/>
            <w:vAlign w:val="center"/>
          </w:tcPr>
          <w:p w:rsidR="005556A5" w:rsidRPr="005556A5" w:rsidRDefault="00433133" w:rsidP="00670B0E">
            <w:pPr>
              <w:jc w:val="center"/>
              <w:rPr>
                <w:rFonts w:asciiTheme="majorHAnsi" w:hAnsiTheme="majorHAnsi"/>
              </w:rPr>
            </w:pPr>
            <w:r>
              <w:rPr>
                <w:rFonts w:asciiTheme="majorHAnsi" w:hAnsiTheme="majorHAnsi"/>
              </w:rPr>
              <w:t>9,1</w:t>
            </w:r>
          </w:p>
        </w:tc>
        <w:tc>
          <w:tcPr>
            <w:tcW w:w="567" w:type="dxa"/>
            <w:vAlign w:val="center"/>
          </w:tcPr>
          <w:p w:rsidR="005556A5" w:rsidRPr="005556A5" w:rsidRDefault="000166A8" w:rsidP="00670B0E">
            <w:pPr>
              <w:jc w:val="center"/>
              <w:rPr>
                <w:rFonts w:asciiTheme="majorHAnsi" w:hAnsiTheme="majorHAnsi"/>
              </w:rPr>
            </w:pPr>
            <w:r>
              <w:rPr>
                <w:rFonts w:asciiTheme="majorHAnsi" w:hAnsiTheme="majorHAnsi"/>
              </w:rPr>
              <w:t>8,4</w:t>
            </w:r>
          </w:p>
        </w:tc>
        <w:tc>
          <w:tcPr>
            <w:tcW w:w="567" w:type="dxa"/>
            <w:vAlign w:val="center"/>
          </w:tcPr>
          <w:p w:rsidR="005556A5" w:rsidRPr="005556A5" w:rsidRDefault="00E62A81" w:rsidP="00670B0E">
            <w:pPr>
              <w:jc w:val="center"/>
              <w:rPr>
                <w:rFonts w:asciiTheme="majorHAnsi" w:hAnsiTheme="majorHAnsi"/>
              </w:rPr>
            </w:pPr>
            <w:r>
              <w:rPr>
                <w:rFonts w:asciiTheme="majorHAnsi" w:hAnsiTheme="majorHAnsi"/>
              </w:rPr>
              <w:t>8,2</w:t>
            </w:r>
          </w:p>
        </w:tc>
        <w:tc>
          <w:tcPr>
            <w:tcW w:w="567" w:type="dxa"/>
            <w:vAlign w:val="center"/>
          </w:tcPr>
          <w:p w:rsidR="005556A5" w:rsidRPr="005556A5" w:rsidRDefault="00E31045" w:rsidP="00670B0E">
            <w:pPr>
              <w:jc w:val="center"/>
              <w:rPr>
                <w:rFonts w:asciiTheme="majorHAnsi" w:hAnsiTheme="majorHAnsi"/>
              </w:rPr>
            </w:pPr>
            <w:r>
              <w:rPr>
                <w:rFonts w:asciiTheme="majorHAnsi" w:hAnsiTheme="majorHAnsi"/>
              </w:rPr>
              <w:t>9,1</w:t>
            </w:r>
          </w:p>
        </w:tc>
        <w:tc>
          <w:tcPr>
            <w:tcW w:w="567" w:type="dxa"/>
            <w:vAlign w:val="center"/>
          </w:tcPr>
          <w:p w:rsidR="005556A5" w:rsidRPr="005556A5" w:rsidRDefault="00CB7704" w:rsidP="00670B0E">
            <w:pPr>
              <w:jc w:val="center"/>
              <w:rPr>
                <w:rFonts w:asciiTheme="majorHAnsi" w:hAnsiTheme="majorHAnsi"/>
                <w:color w:val="000000" w:themeColor="text1"/>
              </w:rPr>
            </w:pPr>
            <w:r>
              <w:rPr>
                <w:rFonts w:asciiTheme="majorHAnsi" w:hAnsiTheme="majorHAnsi"/>
                <w:color w:val="000000" w:themeColor="text1"/>
              </w:rPr>
              <w:t>10,4</w:t>
            </w:r>
          </w:p>
        </w:tc>
        <w:tc>
          <w:tcPr>
            <w:tcW w:w="567" w:type="dxa"/>
            <w:vAlign w:val="center"/>
          </w:tcPr>
          <w:p w:rsidR="005556A5" w:rsidRPr="00AF2494" w:rsidRDefault="005556A5" w:rsidP="00670B0E">
            <w:pPr>
              <w:jc w:val="center"/>
              <w:rPr>
                <w:rFonts w:asciiTheme="majorHAnsi" w:hAnsiTheme="majorHAnsi"/>
              </w:rPr>
            </w:pPr>
            <w:r w:rsidRPr="00AF2494">
              <w:rPr>
                <w:rFonts w:asciiTheme="majorHAnsi" w:hAnsiTheme="majorHAnsi"/>
              </w:rPr>
              <w:t>11,</w:t>
            </w:r>
            <w:r w:rsidR="00616316" w:rsidRPr="00AF2494">
              <w:rPr>
                <w:rFonts w:asciiTheme="majorHAnsi" w:hAnsiTheme="majorHAnsi"/>
              </w:rPr>
              <w:t>7</w:t>
            </w:r>
          </w:p>
        </w:tc>
        <w:tc>
          <w:tcPr>
            <w:tcW w:w="567" w:type="dxa"/>
            <w:tcBorders>
              <w:right w:val="single" w:sz="4" w:space="0" w:color="auto"/>
            </w:tcBorders>
            <w:vAlign w:val="center"/>
          </w:tcPr>
          <w:p w:rsidR="005556A5" w:rsidRPr="005556A5" w:rsidRDefault="005556A5" w:rsidP="00670B0E">
            <w:pPr>
              <w:jc w:val="center"/>
              <w:rPr>
                <w:rFonts w:asciiTheme="majorHAnsi" w:hAnsiTheme="majorHAnsi"/>
              </w:rPr>
            </w:pPr>
            <w:r w:rsidRPr="005556A5">
              <w:rPr>
                <w:rFonts w:asciiTheme="majorHAnsi" w:hAnsiTheme="majorHAnsi"/>
              </w:rPr>
              <w:t>9,</w:t>
            </w:r>
            <w:r w:rsidR="00AF2494">
              <w:rPr>
                <w:rFonts w:asciiTheme="majorHAnsi" w:hAnsiTheme="majorHAnsi"/>
              </w:rPr>
              <w:t>3</w:t>
            </w:r>
          </w:p>
        </w:tc>
        <w:tc>
          <w:tcPr>
            <w:tcW w:w="567" w:type="dxa"/>
            <w:tcBorders>
              <w:left w:val="nil"/>
              <w:right w:val="double" w:sz="4" w:space="0" w:color="auto"/>
            </w:tcBorders>
            <w:vAlign w:val="center"/>
          </w:tcPr>
          <w:p w:rsidR="005556A5" w:rsidRPr="00AD6C4A" w:rsidRDefault="002B33BB" w:rsidP="00F93AB1">
            <w:pPr>
              <w:jc w:val="center"/>
              <w:rPr>
                <w:rFonts w:asciiTheme="majorHAnsi" w:hAnsiTheme="majorHAnsi"/>
                <w:b/>
                <w:color w:val="FF0000"/>
              </w:rPr>
            </w:pPr>
            <w:r w:rsidRPr="00AD6C4A">
              <w:rPr>
                <w:rFonts w:asciiTheme="majorHAnsi" w:hAnsiTheme="majorHAnsi"/>
                <w:b/>
                <w:color w:val="FF0000"/>
              </w:rPr>
              <w:t>7,6</w:t>
            </w:r>
          </w:p>
        </w:tc>
      </w:tr>
      <w:tr w:rsidR="005556A5" w:rsidRPr="00BC38B2">
        <w:tc>
          <w:tcPr>
            <w:tcW w:w="3472" w:type="dxa"/>
            <w:tcBorders>
              <w:left w:val="double" w:sz="4" w:space="0" w:color="auto"/>
            </w:tcBorders>
            <w:vAlign w:val="center"/>
          </w:tcPr>
          <w:p w:rsidR="005556A5" w:rsidRPr="005556A5" w:rsidRDefault="005556A5" w:rsidP="00F93AB1">
            <w:pPr>
              <w:rPr>
                <w:rFonts w:asciiTheme="majorHAnsi" w:hAnsiTheme="majorHAnsi"/>
              </w:rPr>
            </w:pPr>
            <w:r w:rsidRPr="005556A5">
              <w:rPr>
                <w:rFonts w:asciiTheme="majorHAnsi" w:hAnsiTheme="majorHAnsi"/>
              </w:rPr>
              <w:t>Dividendes &amp; autres versés / VAB</w:t>
            </w:r>
          </w:p>
        </w:tc>
        <w:tc>
          <w:tcPr>
            <w:tcW w:w="567" w:type="dxa"/>
            <w:vAlign w:val="center"/>
          </w:tcPr>
          <w:p w:rsidR="005556A5" w:rsidRPr="005556A5" w:rsidRDefault="002B33BB" w:rsidP="00670B0E">
            <w:pPr>
              <w:jc w:val="center"/>
              <w:rPr>
                <w:rFonts w:asciiTheme="majorHAnsi" w:hAnsiTheme="majorHAnsi"/>
              </w:rPr>
            </w:pPr>
            <w:r>
              <w:rPr>
                <w:rFonts w:asciiTheme="majorHAnsi" w:hAnsiTheme="majorHAnsi"/>
              </w:rPr>
              <w:t>14,6</w:t>
            </w:r>
          </w:p>
        </w:tc>
        <w:tc>
          <w:tcPr>
            <w:tcW w:w="567" w:type="dxa"/>
            <w:vAlign w:val="center"/>
          </w:tcPr>
          <w:p w:rsidR="005556A5" w:rsidRPr="005556A5" w:rsidRDefault="005556A5" w:rsidP="00670B0E">
            <w:pPr>
              <w:jc w:val="center"/>
              <w:rPr>
                <w:rFonts w:asciiTheme="majorHAnsi" w:hAnsiTheme="majorHAnsi"/>
              </w:rPr>
            </w:pPr>
            <w:r w:rsidRPr="005556A5">
              <w:rPr>
                <w:rFonts w:asciiTheme="majorHAnsi" w:hAnsiTheme="majorHAnsi"/>
              </w:rPr>
              <w:t>1</w:t>
            </w:r>
            <w:r w:rsidR="002A374B">
              <w:rPr>
                <w:rFonts w:asciiTheme="majorHAnsi" w:hAnsiTheme="majorHAnsi"/>
              </w:rPr>
              <w:t>4,5</w:t>
            </w:r>
          </w:p>
        </w:tc>
        <w:tc>
          <w:tcPr>
            <w:tcW w:w="567" w:type="dxa"/>
            <w:vAlign w:val="center"/>
          </w:tcPr>
          <w:p w:rsidR="005556A5" w:rsidRPr="005556A5" w:rsidRDefault="00433133" w:rsidP="00670B0E">
            <w:pPr>
              <w:jc w:val="center"/>
              <w:rPr>
                <w:rFonts w:asciiTheme="majorHAnsi" w:hAnsiTheme="majorHAnsi"/>
              </w:rPr>
            </w:pPr>
            <w:r>
              <w:rPr>
                <w:rFonts w:asciiTheme="majorHAnsi" w:hAnsiTheme="majorHAnsi"/>
              </w:rPr>
              <w:t>16,6</w:t>
            </w:r>
          </w:p>
        </w:tc>
        <w:tc>
          <w:tcPr>
            <w:tcW w:w="567" w:type="dxa"/>
            <w:vAlign w:val="center"/>
          </w:tcPr>
          <w:p w:rsidR="005556A5" w:rsidRPr="005556A5" w:rsidRDefault="00433133" w:rsidP="00670B0E">
            <w:pPr>
              <w:jc w:val="center"/>
              <w:rPr>
                <w:rFonts w:asciiTheme="majorHAnsi" w:hAnsiTheme="majorHAnsi"/>
              </w:rPr>
            </w:pPr>
            <w:r>
              <w:rPr>
                <w:rFonts w:asciiTheme="majorHAnsi" w:hAnsiTheme="majorHAnsi"/>
              </w:rPr>
              <w:t>17,7</w:t>
            </w:r>
          </w:p>
        </w:tc>
        <w:tc>
          <w:tcPr>
            <w:tcW w:w="567" w:type="dxa"/>
            <w:vAlign w:val="center"/>
          </w:tcPr>
          <w:p w:rsidR="005556A5" w:rsidRPr="005556A5" w:rsidRDefault="000166A8" w:rsidP="00670B0E">
            <w:pPr>
              <w:jc w:val="center"/>
              <w:rPr>
                <w:rFonts w:asciiTheme="majorHAnsi" w:hAnsiTheme="majorHAnsi"/>
              </w:rPr>
            </w:pPr>
            <w:r>
              <w:rPr>
                <w:rFonts w:asciiTheme="majorHAnsi" w:hAnsiTheme="majorHAnsi"/>
              </w:rPr>
              <w:t>19,7</w:t>
            </w:r>
          </w:p>
        </w:tc>
        <w:tc>
          <w:tcPr>
            <w:tcW w:w="567" w:type="dxa"/>
            <w:vAlign w:val="center"/>
          </w:tcPr>
          <w:p w:rsidR="005556A5" w:rsidRPr="005556A5" w:rsidRDefault="00E62A81" w:rsidP="00670B0E">
            <w:pPr>
              <w:jc w:val="center"/>
              <w:rPr>
                <w:rFonts w:asciiTheme="majorHAnsi" w:hAnsiTheme="majorHAnsi"/>
              </w:rPr>
            </w:pPr>
            <w:r>
              <w:rPr>
                <w:rFonts w:asciiTheme="majorHAnsi" w:hAnsiTheme="majorHAnsi"/>
              </w:rPr>
              <w:t>21,0</w:t>
            </w:r>
          </w:p>
        </w:tc>
        <w:tc>
          <w:tcPr>
            <w:tcW w:w="567" w:type="dxa"/>
            <w:vAlign w:val="center"/>
          </w:tcPr>
          <w:p w:rsidR="005556A5" w:rsidRPr="005556A5" w:rsidRDefault="00E31045" w:rsidP="00670B0E">
            <w:pPr>
              <w:jc w:val="center"/>
              <w:rPr>
                <w:rFonts w:asciiTheme="majorHAnsi" w:hAnsiTheme="majorHAnsi"/>
              </w:rPr>
            </w:pPr>
            <w:r>
              <w:rPr>
                <w:rFonts w:asciiTheme="majorHAnsi" w:hAnsiTheme="majorHAnsi"/>
              </w:rPr>
              <w:t>22,9</w:t>
            </w:r>
          </w:p>
        </w:tc>
        <w:tc>
          <w:tcPr>
            <w:tcW w:w="567" w:type="dxa"/>
            <w:vAlign w:val="center"/>
          </w:tcPr>
          <w:p w:rsidR="005556A5" w:rsidRPr="005556A5" w:rsidRDefault="005556A5" w:rsidP="00670B0E">
            <w:pPr>
              <w:jc w:val="center"/>
              <w:rPr>
                <w:rFonts w:asciiTheme="majorHAnsi" w:hAnsiTheme="majorHAnsi"/>
                <w:color w:val="000000" w:themeColor="text1"/>
              </w:rPr>
            </w:pPr>
            <w:r w:rsidRPr="005556A5">
              <w:rPr>
                <w:rFonts w:asciiTheme="majorHAnsi" w:hAnsiTheme="majorHAnsi"/>
                <w:color w:val="000000" w:themeColor="text1"/>
              </w:rPr>
              <w:t>23,</w:t>
            </w:r>
            <w:r w:rsidR="00CB7704">
              <w:rPr>
                <w:rFonts w:asciiTheme="majorHAnsi" w:hAnsiTheme="majorHAnsi"/>
                <w:color w:val="000000" w:themeColor="text1"/>
              </w:rPr>
              <w:t>8</w:t>
            </w:r>
          </w:p>
        </w:tc>
        <w:tc>
          <w:tcPr>
            <w:tcW w:w="567" w:type="dxa"/>
            <w:vAlign w:val="center"/>
          </w:tcPr>
          <w:p w:rsidR="005556A5" w:rsidRPr="00AF2494" w:rsidRDefault="005556A5" w:rsidP="00616316">
            <w:pPr>
              <w:jc w:val="center"/>
              <w:rPr>
                <w:rFonts w:asciiTheme="majorHAnsi" w:hAnsiTheme="majorHAnsi"/>
              </w:rPr>
            </w:pPr>
            <w:r w:rsidRPr="00AF2494">
              <w:rPr>
                <w:rFonts w:asciiTheme="majorHAnsi" w:hAnsiTheme="majorHAnsi"/>
              </w:rPr>
              <w:t>2</w:t>
            </w:r>
            <w:r w:rsidR="00616316" w:rsidRPr="00AF2494">
              <w:rPr>
                <w:rFonts w:asciiTheme="majorHAnsi" w:hAnsiTheme="majorHAnsi"/>
              </w:rPr>
              <w:t>4,9</w:t>
            </w:r>
          </w:p>
        </w:tc>
        <w:tc>
          <w:tcPr>
            <w:tcW w:w="567" w:type="dxa"/>
            <w:tcBorders>
              <w:right w:val="single" w:sz="4" w:space="0" w:color="auto"/>
            </w:tcBorders>
            <w:vAlign w:val="center"/>
          </w:tcPr>
          <w:p w:rsidR="005556A5" w:rsidRPr="005556A5" w:rsidRDefault="007822A1" w:rsidP="00670B0E">
            <w:pPr>
              <w:jc w:val="center"/>
              <w:rPr>
                <w:rFonts w:asciiTheme="majorHAnsi" w:hAnsiTheme="majorHAnsi"/>
              </w:rPr>
            </w:pPr>
            <w:r>
              <w:rPr>
                <w:rFonts w:asciiTheme="majorHAnsi" w:hAnsiTheme="majorHAnsi"/>
              </w:rPr>
              <w:t>26,0</w:t>
            </w:r>
          </w:p>
        </w:tc>
        <w:tc>
          <w:tcPr>
            <w:tcW w:w="567" w:type="dxa"/>
            <w:tcBorders>
              <w:left w:val="nil"/>
              <w:right w:val="double" w:sz="4" w:space="0" w:color="auto"/>
            </w:tcBorders>
            <w:vAlign w:val="center"/>
          </w:tcPr>
          <w:p w:rsidR="005556A5" w:rsidRPr="00AD6C4A" w:rsidRDefault="002B33BB" w:rsidP="00F93AB1">
            <w:pPr>
              <w:jc w:val="center"/>
              <w:rPr>
                <w:rFonts w:asciiTheme="majorHAnsi" w:hAnsiTheme="majorHAnsi"/>
                <w:b/>
                <w:color w:val="FF0000"/>
              </w:rPr>
            </w:pPr>
            <w:r w:rsidRPr="00AD6C4A">
              <w:rPr>
                <w:rFonts w:asciiTheme="majorHAnsi" w:hAnsiTheme="majorHAnsi"/>
                <w:b/>
                <w:color w:val="FF0000"/>
              </w:rPr>
              <w:t>24,1</w:t>
            </w:r>
          </w:p>
        </w:tc>
      </w:tr>
      <w:tr w:rsidR="005556A5" w:rsidRPr="00BC38B2">
        <w:tc>
          <w:tcPr>
            <w:tcW w:w="3472" w:type="dxa"/>
            <w:tcBorders>
              <w:left w:val="double" w:sz="4" w:space="0" w:color="auto"/>
            </w:tcBorders>
            <w:vAlign w:val="center"/>
          </w:tcPr>
          <w:p w:rsidR="005556A5" w:rsidRPr="005556A5" w:rsidRDefault="005556A5" w:rsidP="00F93AB1">
            <w:pPr>
              <w:rPr>
                <w:rFonts w:asciiTheme="majorHAnsi" w:hAnsiTheme="majorHAnsi"/>
              </w:rPr>
            </w:pPr>
            <w:r w:rsidRPr="005556A5">
              <w:rPr>
                <w:rFonts w:asciiTheme="majorHAnsi" w:hAnsiTheme="majorHAnsi"/>
              </w:rPr>
              <w:t xml:space="preserve">Revenus de la propriété et de l’entreprise perçus / </w:t>
            </w:r>
            <w:r w:rsidRPr="005556A5">
              <w:rPr>
                <w:rFonts w:asciiTheme="majorHAnsi" w:hAnsiTheme="majorHAnsi"/>
              </w:rPr>
              <w:sym w:font="Symbol" w:char="F053"/>
            </w:r>
            <w:r w:rsidRPr="005556A5">
              <w:rPr>
                <w:rFonts w:asciiTheme="majorHAnsi" w:hAnsiTheme="majorHAnsi"/>
              </w:rPr>
              <w:t xml:space="preserve"> des revenus primaires perçus</w:t>
            </w:r>
          </w:p>
        </w:tc>
        <w:tc>
          <w:tcPr>
            <w:tcW w:w="567" w:type="dxa"/>
            <w:vAlign w:val="center"/>
          </w:tcPr>
          <w:p w:rsidR="005556A5" w:rsidRPr="005556A5" w:rsidRDefault="002B33BB" w:rsidP="00670B0E">
            <w:pPr>
              <w:jc w:val="center"/>
              <w:rPr>
                <w:rFonts w:asciiTheme="majorHAnsi" w:hAnsiTheme="majorHAnsi"/>
              </w:rPr>
            </w:pPr>
            <w:r>
              <w:rPr>
                <w:rFonts w:asciiTheme="majorHAnsi" w:hAnsiTheme="majorHAnsi"/>
              </w:rPr>
              <w:t>36,3</w:t>
            </w:r>
          </w:p>
        </w:tc>
        <w:tc>
          <w:tcPr>
            <w:tcW w:w="567" w:type="dxa"/>
            <w:vAlign w:val="center"/>
          </w:tcPr>
          <w:p w:rsidR="005556A5" w:rsidRPr="005556A5" w:rsidRDefault="002A374B" w:rsidP="00670B0E">
            <w:pPr>
              <w:jc w:val="center"/>
              <w:rPr>
                <w:rFonts w:asciiTheme="majorHAnsi" w:hAnsiTheme="majorHAnsi"/>
              </w:rPr>
            </w:pPr>
            <w:r>
              <w:rPr>
                <w:rFonts w:asciiTheme="majorHAnsi" w:hAnsiTheme="majorHAnsi"/>
              </w:rPr>
              <w:t>38,3</w:t>
            </w:r>
          </w:p>
        </w:tc>
        <w:tc>
          <w:tcPr>
            <w:tcW w:w="567" w:type="dxa"/>
            <w:vAlign w:val="center"/>
          </w:tcPr>
          <w:p w:rsidR="005556A5" w:rsidRPr="005556A5" w:rsidRDefault="00433133" w:rsidP="00670B0E">
            <w:pPr>
              <w:jc w:val="center"/>
              <w:rPr>
                <w:rFonts w:asciiTheme="majorHAnsi" w:hAnsiTheme="majorHAnsi"/>
              </w:rPr>
            </w:pPr>
            <w:r>
              <w:rPr>
                <w:rFonts w:asciiTheme="majorHAnsi" w:hAnsiTheme="majorHAnsi"/>
              </w:rPr>
              <w:t>36,9</w:t>
            </w:r>
          </w:p>
        </w:tc>
        <w:tc>
          <w:tcPr>
            <w:tcW w:w="567" w:type="dxa"/>
            <w:vAlign w:val="center"/>
          </w:tcPr>
          <w:p w:rsidR="005556A5" w:rsidRPr="005556A5" w:rsidRDefault="00433133" w:rsidP="00670B0E">
            <w:pPr>
              <w:jc w:val="center"/>
              <w:rPr>
                <w:rFonts w:asciiTheme="majorHAnsi" w:hAnsiTheme="majorHAnsi"/>
              </w:rPr>
            </w:pPr>
            <w:r>
              <w:rPr>
                <w:rFonts w:asciiTheme="majorHAnsi" w:hAnsiTheme="majorHAnsi"/>
              </w:rPr>
              <w:t>37,1</w:t>
            </w:r>
          </w:p>
        </w:tc>
        <w:tc>
          <w:tcPr>
            <w:tcW w:w="567" w:type="dxa"/>
            <w:vAlign w:val="center"/>
          </w:tcPr>
          <w:p w:rsidR="005556A5" w:rsidRPr="005556A5" w:rsidRDefault="000166A8" w:rsidP="00670B0E">
            <w:pPr>
              <w:jc w:val="center"/>
              <w:rPr>
                <w:rFonts w:asciiTheme="majorHAnsi" w:hAnsiTheme="majorHAnsi"/>
              </w:rPr>
            </w:pPr>
            <w:r>
              <w:rPr>
                <w:rFonts w:asciiTheme="majorHAnsi" w:hAnsiTheme="majorHAnsi"/>
              </w:rPr>
              <w:t>38,6</w:t>
            </w:r>
          </w:p>
        </w:tc>
        <w:tc>
          <w:tcPr>
            <w:tcW w:w="567" w:type="dxa"/>
            <w:vAlign w:val="center"/>
          </w:tcPr>
          <w:p w:rsidR="005556A5" w:rsidRPr="005556A5" w:rsidRDefault="00E62A81" w:rsidP="00670B0E">
            <w:pPr>
              <w:jc w:val="center"/>
              <w:rPr>
                <w:rFonts w:asciiTheme="majorHAnsi" w:hAnsiTheme="majorHAnsi"/>
              </w:rPr>
            </w:pPr>
            <w:r>
              <w:rPr>
                <w:rFonts w:asciiTheme="majorHAnsi" w:hAnsiTheme="majorHAnsi"/>
              </w:rPr>
              <w:t>41,0</w:t>
            </w:r>
          </w:p>
        </w:tc>
        <w:tc>
          <w:tcPr>
            <w:tcW w:w="567" w:type="dxa"/>
            <w:vAlign w:val="center"/>
          </w:tcPr>
          <w:p w:rsidR="005556A5" w:rsidRPr="005556A5" w:rsidRDefault="00E31045" w:rsidP="00670B0E">
            <w:pPr>
              <w:jc w:val="center"/>
              <w:rPr>
                <w:rFonts w:asciiTheme="majorHAnsi" w:hAnsiTheme="majorHAnsi"/>
              </w:rPr>
            </w:pPr>
            <w:r>
              <w:rPr>
                <w:rFonts w:asciiTheme="majorHAnsi" w:hAnsiTheme="majorHAnsi"/>
              </w:rPr>
              <w:t>44,1</w:t>
            </w:r>
          </w:p>
        </w:tc>
        <w:tc>
          <w:tcPr>
            <w:tcW w:w="567" w:type="dxa"/>
            <w:vAlign w:val="center"/>
          </w:tcPr>
          <w:p w:rsidR="005556A5" w:rsidRPr="005556A5" w:rsidRDefault="00616316" w:rsidP="00670B0E">
            <w:pPr>
              <w:jc w:val="center"/>
              <w:rPr>
                <w:rFonts w:asciiTheme="majorHAnsi" w:hAnsiTheme="majorHAnsi"/>
                <w:color w:val="000000" w:themeColor="text1"/>
              </w:rPr>
            </w:pPr>
            <w:r>
              <w:rPr>
                <w:rFonts w:asciiTheme="majorHAnsi" w:hAnsiTheme="majorHAnsi"/>
                <w:color w:val="000000" w:themeColor="text1"/>
              </w:rPr>
              <w:t>46,1</w:t>
            </w:r>
          </w:p>
        </w:tc>
        <w:tc>
          <w:tcPr>
            <w:tcW w:w="567" w:type="dxa"/>
            <w:vAlign w:val="center"/>
          </w:tcPr>
          <w:p w:rsidR="005556A5" w:rsidRPr="00AF2494" w:rsidRDefault="007822A1" w:rsidP="00670B0E">
            <w:pPr>
              <w:jc w:val="center"/>
              <w:rPr>
                <w:rFonts w:asciiTheme="majorHAnsi" w:hAnsiTheme="majorHAnsi"/>
              </w:rPr>
            </w:pPr>
            <w:r>
              <w:rPr>
                <w:rFonts w:asciiTheme="majorHAnsi" w:hAnsiTheme="majorHAnsi"/>
              </w:rPr>
              <w:t>45,6</w:t>
            </w:r>
          </w:p>
        </w:tc>
        <w:tc>
          <w:tcPr>
            <w:tcW w:w="567" w:type="dxa"/>
            <w:tcBorders>
              <w:right w:val="single" w:sz="4" w:space="0" w:color="auto"/>
            </w:tcBorders>
            <w:vAlign w:val="center"/>
          </w:tcPr>
          <w:p w:rsidR="005556A5" w:rsidRPr="005556A5" w:rsidRDefault="007822A1" w:rsidP="00670B0E">
            <w:pPr>
              <w:jc w:val="center"/>
              <w:rPr>
                <w:rFonts w:asciiTheme="majorHAnsi" w:hAnsiTheme="majorHAnsi"/>
              </w:rPr>
            </w:pPr>
            <w:r>
              <w:rPr>
                <w:rFonts w:asciiTheme="majorHAnsi" w:hAnsiTheme="majorHAnsi"/>
              </w:rPr>
              <w:t>45,2</w:t>
            </w:r>
          </w:p>
        </w:tc>
        <w:tc>
          <w:tcPr>
            <w:tcW w:w="567" w:type="dxa"/>
            <w:tcBorders>
              <w:left w:val="nil"/>
              <w:right w:val="double" w:sz="4" w:space="0" w:color="auto"/>
            </w:tcBorders>
            <w:vAlign w:val="center"/>
          </w:tcPr>
          <w:p w:rsidR="005556A5" w:rsidRPr="00AD6C4A" w:rsidRDefault="002B33BB" w:rsidP="00F93AB1">
            <w:pPr>
              <w:jc w:val="center"/>
              <w:rPr>
                <w:rFonts w:asciiTheme="majorHAnsi" w:hAnsiTheme="majorHAnsi"/>
                <w:b/>
                <w:color w:val="FF0000"/>
              </w:rPr>
            </w:pPr>
            <w:r w:rsidRPr="00AD6C4A">
              <w:rPr>
                <w:rFonts w:asciiTheme="majorHAnsi" w:hAnsiTheme="majorHAnsi"/>
                <w:b/>
                <w:color w:val="FF0000"/>
              </w:rPr>
              <w:t>42,6</w:t>
            </w:r>
          </w:p>
        </w:tc>
      </w:tr>
      <w:tr w:rsidR="005556A5" w:rsidRPr="00BC38B2">
        <w:tc>
          <w:tcPr>
            <w:tcW w:w="3472" w:type="dxa"/>
            <w:tcBorders>
              <w:left w:val="double" w:sz="4" w:space="0" w:color="auto"/>
              <w:bottom w:val="double" w:sz="4" w:space="0" w:color="auto"/>
            </w:tcBorders>
            <w:vAlign w:val="center"/>
          </w:tcPr>
          <w:p w:rsidR="005556A5" w:rsidRPr="005556A5" w:rsidRDefault="005556A5" w:rsidP="00F93AB1">
            <w:pPr>
              <w:rPr>
                <w:rFonts w:asciiTheme="majorHAnsi" w:hAnsiTheme="majorHAnsi"/>
              </w:rPr>
            </w:pPr>
            <w:r w:rsidRPr="005556A5">
              <w:rPr>
                <w:rFonts w:asciiTheme="majorHAnsi" w:hAnsiTheme="majorHAnsi"/>
              </w:rPr>
              <w:t>Solde brut des revenus primaires / VAB</w:t>
            </w:r>
          </w:p>
        </w:tc>
        <w:tc>
          <w:tcPr>
            <w:tcW w:w="567" w:type="dxa"/>
            <w:tcBorders>
              <w:bottom w:val="double" w:sz="4" w:space="0" w:color="auto"/>
            </w:tcBorders>
            <w:vAlign w:val="center"/>
          </w:tcPr>
          <w:p w:rsidR="005556A5" w:rsidRPr="005556A5" w:rsidRDefault="002B33BB" w:rsidP="00670B0E">
            <w:pPr>
              <w:jc w:val="center"/>
              <w:rPr>
                <w:rFonts w:asciiTheme="majorHAnsi" w:hAnsiTheme="majorHAnsi"/>
              </w:rPr>
            </w:pPr>
            <w:r>
              <w:rPr>
                <w:rFonts w:asciiTheme="majorHAnsi" w:hAnsiTheme="majorHAnsi"/>
              </w:rPr>
              <w:t>23,5</w:t>
            </w:r>
          </w:p>
        </w:tc>
        <w:tc>
          <w:tcPr>
            <w:tcW w:w="567" w:type="dxa"/>
            <w:tcBorders>
              <w:bottom w:val="double" w:sz="4" w:space="0" w:color="auto"/>
            </w:tcBorders>
            <w:vAlign w:val="center"/>
          </w:tcPr>
          <w:p w:rsidR="005556A5" w:rsidRPr="005556A5" w:rsidRDefault="002A374B" w:rsidP="00670B0E">
            <w:pPr>
              <w:jc w:val="center"/>
              <w:rPr>
                <w:rFonts w:asciiTheme="majorHAnsi" w:hAnsiTheme="majorHAnsi"/>
              </w:rPr>
            </w:pPr>
            <w:r>
              <w:rPr>
                <w:rFonts w:asciiTheme="majorHAnsi" w:hAnsiTheme="majorHAnsi"/>
              </w:rPr>
              <w:t>24,2</w:t>
            </w:r>
          </w:p>
        </w:tc>
        <w:tc>
          <w:tcPr>
            <w:tcW w:w="567" w:type="dxa"/>
            <w:tcBorders>
              <w:bottom w:val="double" w:sz="4" w:space="0" w:color="auto"/>
            </w:tcBorders>
            <w:vAlign w:val="center"/>
          </w:tcPr>
          <w:p w:rsidR="005556A5" w:rsidRPr="005556A5" w:rsidRDefault="002A374B" w:rsidP="00670B0E">
            <w:pPr>
              <w:jc w:val="center"/>
              <w:rPr>
                <w:rFonts w:asciiTheme="majorHAnsi" w:hAnsiTheme="majorHAnsi"/>
              </w:rPr>
            </w:pPr>
            <w:r>
              <w:rPr>
                <w:rFonts w:asciiTheme="majorHAnsi" w:hAnsiTheme="majorHAnsi"/>
              </w:rPr>
              <w:t>21,6</w:t>
            </w:r>
          </w:p>
        </w:tc>
        <w:tc>
          <w:tcPr>
            <w:tcW w:w="567" w:type="dxa"/>
            <w:tcBorders>
              <w:bottom w:val="double" w:sz="4" w:space="0" w:color="auto"/>
            </w:tcBorders>
            <w:vAlign w:val="center"/>
          </w:tcPr>
          <w:p w:rsidR="005556A5" w:rsidRPr="005556A5" w:rsidRDefault="00433133" w:rsidP="00670B0E">
            <w:pPr>
              <w:jc w:val="center"/>
              <w:rPr>
                <w:rFonts w:asciiTheme="majorHAnsi" w:hAnsiTheme="majorHAnsi"/>
              </w:rPr>
            </w:pPr>
            <w:r w:rsidRPr="005556A5">
              <w:rPr>
                <w:rFonts w:asciiTheme="majorHAnsi" w:hAnsiTheme="majorHAnsi"/>
              </w:rPr>
              <w:t>21,5</w:t>
            </w:r>
          </w:p>
        </w:tc>
        <w:tc>
          <w:tcPr>
            <w:tcW w:w="567" w:type="dxa"/>
            <w:tcBorders>
              <w:bottom w:val="double" w:sz="4" w:space="0" w:color="auto"/>
            </w:tcBorders>
            <w:vAlign w:val="center"/>
          </w:tcPr>
          <w:p w:rsidR="005556A5" w:rsidRPr="005556A5" w:rsidRDefault="000166A8" w:rsidP="00670B0E">
            <w:pPr>
              <w:jc w:val="center"/>
              <w:rPr>
                <w:rFonts w:asciiTheme="majorHAnsi" w:hAnsiTheme="majorHAnsi"/>
              </w:rPr>
            </w:pPr>
            <w:r>
              <w:rPr>
                <w:rFonts w:asciiTheme="majorHAnsi" w:hAnsiTheme="majorHAnsi"/>
              </w:rPr>
              <w:t>21,0</w:t>
            </w:r>
          </w:p>
        </w:tc>
        <w:tc>
          <w:tcPr>
            <w:tcW w:w="567" w:type="dxa"/>
            <w:tcBorders>
              <w:bottom w:val="double" w:sz="4" w:space="0" w:color="auto"/>
            </w:tcBorders>
            <w:vAlign w:val="center"/>
          </w:tcPr>
          <w:p w:rsidR="005556A5" w:rsidRPr="005556A5" w:rsidRDefault="005556A5" w:rsidP="00670B0E">
            <w:pPr>
              <w:jc w:val="center"/>
              <w:rPr>
                <w:rFonts w:asciiTheme="majorHAnsi" w:hAnsiTheme="majorHAnsi"/>
              </w:rPr>
            </w:pPr>
            <w:r w:rsidRPr="005556A5">
              <w:rPr>
                <w:rFonts w:asciiTheme="majorHAnsi" w:hAnsiTheme="majorHAnsi"/>
              </w:rPr>
              <w:t>20,</w:t>
            </w:r>
            <w:r w:rsidR="00E62A81">
              <w:rPr>
                <w:rFonts w:asciiTheme="majorHAnsi" w:hAnsiTheme="majorHAnsi"/>
              </w:rPr>
              <w:t>9</w:t>
            </w:r>
          </w:p>
        </w:tc>
        <w:tc>
          <w:tcPr>
            <w:tcW w:w="567" w:type="dxa"/>
            <w:tcBorders>
              <w:bottom w:val="double" w:sz="4" w:space="0" w:color="auto"/>
            </w:tcBorders>
            <w:vAlign w:val="center"/>
          </w:tcPr>
          <w:p w:rsidR="005556A5" w:rsidRPr="005556A5" w:rsidRDefault="005556A5" w:rsidP="00E31045">
            <w:pPr>
              <w:jc w:val="center"/>
              <w:rPr>
                <w:rFonts w:asciiTheme="majorHAnsi" w:hAnsiTheme="majorHAnsi"/>
              </w:rPr>
            </w:pPr>
            <w:r w:rsidRPr="005556A5">
              <w:rPr>
                <w:rFonts w:asciiTheme="majorHAnsi" w:hAnsiTheme="majorHAnsi"/>
              </w:rPr>
              <w:t>2</w:t>
            </w:r>
            <w:r w:rsidR="00E31045">
              <w:rPr>
                <w:rFonts w:asciiTheme="majorHAnsi" w:hAnsiTheme="majorHAnsi"/>
              </w:rPr>
              <w:t>2,1</w:t>
            </w:r>
          </w:p>
        </w:tc>
        <w:tc>
          <w:tcPr>
            <w:tcW w:w="567" w:type="dxa"/>
            <w:tcBorders>
              <w:bottom w:val="double" w:sz="4" w:space="0" w:color="auto"/>
            </w:tcBorders>
            <w:vAlign w:val="center"/>
          </w:tcPr>
          <w:p w:rsidR="005556A5" w:rsidRPr="005556A5" w:rsidRDefault="00616316" w:rsidP="00670B0E">
            <w:pPr>
              <w:jc w:val="center"/>
              <w:rPr>
                <w:rFonts w:asciiTheme="majorHAnsi" w:hAnsiTheme="majorHAnsi"/>
                <w:color w:val="000000" w:themeColor="text1"/>
              </w:rPr>
            </w:pPr>
            <w:r>
              <w:rPr>
                <w:rFonts w:asciiTheme="majorHAnsi" w:hAnsiTheme="majorHAnsi"/>
                <w:color w:val="000000" w:themeColor="text1"/>
              </w:rPr>
              <w:t>23,4</w:t>
            </w:r>
          </w:p>
        </w:tc>
        <w:tc>
          <w:tcPr>
            <w:tcW w:w="567" w:type="dxa"/>
            <w:tcBorders>
              <w:bottom w:val="double" w:sz="4" w:space="0" w:color="auto"/>
            </w:tcBorders>
            <w:vAlign w:val="center"/>
          </w:tcPr>
          <w:p w:rsidR="005556A5" w:rsidRPr="00AF2494" w:rsidRDefault="005556A5" w:rsidP="00670B0E">
            <w:pPr>
              <w:jc w:val="center"/>
              <w:rPr>
                <w:rFonts w:asciiTheme="majorHAnsi" w:hAnsiTheme="majorHAnsi"/>
              </w:rPr>
            </w:pPr>
            <w:r w:rsidRPr="00AF2494">
              <w:rPr>
                <w:rFonts w:asciiTheme="majorHAnsi" w:hAnsiTheme="majorHAnsi"/>
              </w:rPr>
              <w:t>21,2</w:t>
            </w:r>
          </w:p>
        </w:tc>
        <w:tc>
          <w:tcPr>
            <w:tcW w:w="567" w:type="dxa"/>
            <w:tcBorders>
              <w:bottom w:val="double" w:sz="4" w:space="0" w:color="auto"/>
              <w:right w:val="single" w:sz="4" w:space="0" w:color="auto"/>
            </w:tcBorders>
            <w:vAlign w:val="center"/>
          </w:tcPr>
          <w:p w:rsidR="005556A5" w:rsidRPr="005556A5" w:rsidRDefault="007822A1" w:rsidP="00670B0E">
            <w:pPr>
              <w:jc w:val="center"/>
              <w:rPr>
                <w:rFonts w:asciiTheme="majorHAnsi" w:hAnsiTheme="majorHAnsi"/>
              </w:rPr>
            </w:pPr>
            <w:r>
              <w:rPr>
                <w:rFonts w:asciiTheme="majorHAnsi" w:hAnsiTheme="majorHAnsi"/>
              </w:rPr>
              <w:t>22,0</w:t>
            </w:r>
          </w:p>
        </w:tc>
        <w:tc>
          <w:tcPr>
            <w:tcW w:w="567" w:type="dxa"/>
            <w:tcBorders>
              <w:left w:val="nil"/>
              <w:bottom w:val="double" w:sz="4" w:space="0" w:color="auto"/>
              <w:right w:val="double" w:sz="4" w:space="0" w:color="auto"/>
            </w:tcBorders>
            <w:vAlign w:val="center"/>
          </w:tcPr>
          <w:p w:rsidR="005556A5" w:rsidRPr="00AD6C4A" w:rsidRDefault="002B33BB" w:rsidP="00F93AB1">
            <w:pPr>
              <w:jc w:val="center"/>
              <w:rPr>
                <w:rFonts w:asciiTheme="majorHAnsi" w:hAnsiTheme="majorHAnsi"/>
                <w:b/>
                <w:color w:val="FF0000"/>
              </w:rPr>
            </w:pPr>
            <w:r w:rsidRPr="00AD6C4A">
              <w:rPr>
                <w:rFonts w:asciiTheme="majorHAnsi" w:hAnsiTheme="majorHAnsi"/>
                <w:b/>
                <w:color w:val="FF0000"/>
              </w:rPr>
              <w:t>19,9</w:t>
            </w:r>
          </w:p>
        </w:tc>
      </w:tr>
      <w:tr w:rsidR="00F93AB1" w:rsidRPr="00BC38B2">
        <w:tc>
          <w:tcPr>
            <w:tcW w:w="9709" w:type="dxa"/>
            <w:gridSpan w:val="12"/>
            <w:tcBorders>
              <w:left w:val="double" w:sz="4" w:space="0" w:color="auto"/>
              <w:right w:val="double" w:sz="4" w:space="0" w:color="auto"/>
            </w:tcBorders>
            <w:vAlign w:val="center"/>
          </w:tcPr>
          <w:p w:rsidR="00F93AB1" w:rsidRPr="00AF2494" w:rsidRDefault="00F93AB1" w:rsidP="00F93AB1">
            <w:pPr>
              <w:jc w:val="center"/>
              <w:rPr>
                <w:rFonts w:asciiTheme="majorHAnsi" w:hAnsiTheme="majorHAnsi"/>
                <w:sz w:val="22"/>
              </w:rPr>
            </w:pPr>
            <w:r w:rsidRPr="00AF2494">
              <w:rPr>
                <w:rFonts w:asciiTheme="majorHAnsi" w:hAnsiTheme="majorHAnsi"/>
                <w:b/>
              </w:rPr>
              <w:t>Partage de l’EBE : Formation du Revenu Disponible Brut</w:t>
            </w:r>
          </w:p>
        </w:tc>
      </w:tr>
      <w:tr w:rsidR="005556A5" w:rsidRPr="00BC38B2">
        <w:tc>
          <w:tcPr>
            <w:tcW w:w="3472" w:type="dxa"/>
            <w:tcBorders>
              <w:left w:val="double" w:sz="4" w:space="0" w:color="auto"/>
            </w:tcBorders>
            <w:vAlign w:val="center"/>
          </w:tcPr>
          <w:p w:rsidR="005556A5" w:rsidRPr="005556A5" w:rsidRDefault="005556A5" w:rsidP="00F93AB1">
            <w:pPr>
              <w:rPr>
                <w:rFonts w:asciiTheme="majorHAnsi" w:hAnsiTheme="majorHAnsi"/>
              </w:rPr>
            </w:pPr>
            <w:r w:rsidRPr="005556A5">
              <w:rPr>
                <w:rFonts w:asciiTheme="majorHAnsi" w:hAnsiTheme="majorHAnsi"/>
              </w:rPr>
              <w:t>Impôts sur le revenu / VAB</w:t>
            </w:r>
          </w:p>
        </w:tc>
        <w:tc>
          <w:tcPr>
            <w:tcW w:w="567" w:type="dxa"/>
            <w:vAlign w:val="center"/>
          </w:tcPr>
          <w:p w:rsidR="005556A5" w:rsidRPr="005556A5" w:rsidRDefault="005556A5" w:rsidP="00670B0E">
            <w:pPr>
              <w:jc w:val="center"/>
              <w:rPr>
                <w:rFonts w:asciiTheme="majorHAnsi" w:hAnsiTheme="majorHAnsi"/>
              </w:rPr>
            </w:pPr>
            <w:r w:rsidRPr="005556A5">
              <w:rPr>
                <w:rFonts w:asciiTheme="majorHAnsi" w:hAnsiTheme="majorHAnsi"/>
              </w:rPr>
              <w:t>4,0</w:t>
            </w:r>
          </w:p>
        </w:tc>
        <w:tc>
          <w:tcPr>
            <w:tcW w:w="567" w:type="dxa"/>
            <w:vAlign w:val="center"/>
          </w:tcPr>
          <w:p w:rsidR="005556A5" w:rsidRPr="005556A5" w:rsidRDefault="005556A5" w:rsidP="00670B0E">
            <w:pPr>
              <w:jc w:val="center"/>
              <w:rPr>
                <w:rFonts w:asciiTheme="majorHAnsi" w:hAnsiTheme="majorHAnsi"/>
              </w:rPr>
            </w:pPr>
            <w:r w:rsidRPr="005556A5">
              <w:rPr>
                <w:rFonts w:asciiTheme="majorHAnsi" w:hAnsiTheme="majorHAnsi"/>
              </w:rPr>
              <w:t>4,5</w:t>
            </w:r>
          </w:p>
        </w:tc>
        <w:tc>
          <w:tcPr>
            <w:tcW w:w="567" w:type="dxa"/>
            <w:vAlign w:val="center"/>
          </w:tcPr>
          <w:p w:rsidR="005556A5" w:rsidRPr="005556A5" w:rsidRDefault="00433133" w:rsidP="00670B0E">
            <w:pPr>
              <w:jc w:val="center"/>
              <w:rPr>
                <w:rFonts w:asciiTheme="majorHAnsi" w:hAnsiTheme="majorHAnsi"/>
              </w:rPr>
            </w:pPr>
            <w:r>
              <w:rPr>
                <w:rFonts w:asciiTheme="majorHAnsi" w:hAnsiTheme="majorHAnsi"/>
              </w:rPr>
              <w:t>3,</w:t>
            </w:r>
            <w:r w:rsidR="002A374B">
              <w:rPr>
                <w:rFonts w:asciiTheme="majorHAnsi" w:hAnsiTheme="majorHAnsi"/>
              </w:rPr>
              <w:t>7</w:t>
            </w:r>
          </w:p>
        </w:tc>
        <w:tc>
          <w:tcPr>
            <w:tcW w:w="567" w:type="dxa"/>
            <w:vAlign w:val="center"/>
          </w:tcPr>
          <w:p w:rsidR="005556A5" w:rsidRPr="005556A5" w:rsidRDefault="005556A5" w:rsidP="00670B0E">
            <w:pPr>
              <w:jc w:val="center"/>
              <w:rPr>
                <w:rFonts w:asciiTheme="majorHAnsi" w:hAnsiTheme="majorHAnsi"/>
              </w:rPr>
            </w:pPr>
            <w:r w:rsidRPr="005556A5">
              <w:rPr>
                <w:rFonts w:asciiTheme="majorHAnsi" w:hAnsiTheme="majorHAnsi"/>
              </w:rPr>
              <w:t>3,2</w:t>
            </w:r>
          </w:p>
        </w:tc>
        <w:tc>
          <w:tcPr>
            <w:tcW w:w="567" w:type="dxa"/>
            <w:vAlign w:val="center"/>
          </w:tcPr>
          <w:p w:rsidR="005556A5" w:rsidRPr="005556A5" w:rsidRDefault="005556A5" w:rsidP="00670B0E">
            <w:pPr>
              <w:jc w:val="center"/>
              <w:rPr>
                <w:rFonts w:asciiTheme="majorHAnsi" w:hAnsiTheme="majorHAnsi"/>
              </w:rPr>
            </w:pPr>
            <w:r w:rsidRPr="005556A5">
              <w:rPr>
                <w:rFonts w:asciiTheme="majorHAnsi" w:hAnsiTheme="majorHAnsi"/>
              </w:rPr>
              <w:t>3,3</w:t>
            </w:r>
          </w:p>
        </w:tc>
        <w:tc>
          <w:tcPr>
            <w:tcW w:w="567" w:type="dxa"/>
            <w:vAlign w:val="center"/>
          </w:tcPr>
          <w:p w:rsidR="005556A5" w:rsidRPr="005556A5" w:rsidRDefault="005556A5" w:rsidP="00670B0E">
            <w:pPr>
              <w:jc w:val="center"/>
              <w:rPr>
                <w:rFonts w:asciiTheme="majorHAnsi" w:hAnsiTheme="majorHAnsi"/>
              </w:rPr>
            </w:pPr>
            <w:r w:rsidRPr="005556A5">
              <w:rPr>
                <w:rFonts w:asciiTheme="majorHAnsi" w:hAnsiTheme="majorHAnsi"/>
              </w:rPr>
              <w:t>3,7</w:t>
            </w:r>
          </w:p>
        </w:tc>
        <w:tc>
          <w:tcPr>
            <w:tcW w:w="567" w:type="dxa"/>
            <w:vAlign w:val="center"/>
          </w:tcPr>
          <w:p w:rsidR="005556A5" w:rsidRPr="005556A5" w:rsidRDefault="00E31045" w:rsidP="00670B0E">
            <w:pPr>
              <w:jc w:val="center"/>
              <w:rPr>
                <w:rFonts w:asciiTheme="majorHAnsi" w:hAnsiTheme="majorHAnsi"/>
              </w:rPr>
            </w:pPr>
            <w:r>
              <w:rPr>
                <w:rFonts w:asciiTheme="majorHAnsi" w:hAnsiTheme="majorHAnsi"/>
              </w:rPr>
              <w:t>4,6</w:t>
            </w:r>
          </w:p>
        </w:tc>
        <w:tc>
          <w:tcPr>
            <w:tcW w:w="567" w:type="dxa"/>
            <w:vAlign w:val="center"/>
          </w:tcPr>
          <w:p w:rsidR="005556A5" w:rsidRPr="005556A5" w:rsidRDefault="005556A5" w:rsidP="00670B0E">
            <w:pPr>
              <w:jc w:val="center"/>
              <w:rPr>
                <w:rFonts w:asciiTheme="majorHAnsi" w:hAnsiTheme="majorHAnsi"/>
                <w:color w:val="000000" w:themeColor="text1"/>
              </w:rPr>
            </w:pPr>
            <w:r w:rsidRPr="005556A5">
              <w:rPr>
                <w:rFonts w:asciiTheme="majorHAnsi" w:hAnsiTheme="majorHAnsi"/>
                <w:color w:val="000000" w:themeColor="text1"/>
              </w:rPr>
              <w:t>4,5</w:t>
            </w:r>
          </w:p>
        </w:tc>
        <w:tc>
          <w:tcPr>
            <w:tcW w:w="567" w:type="dxa"/>
            <w:vAlign w:val="center"/>
          </w:tcPr>
          <w:p w:rsidR="005556A5" w:rsidRPr="00AF2494" w:rsidRDefault="005556A5" w:rsidP="00670B0E">
            <w:pPr>
              <w:jc w:val="center"/>
              <w:rPr>
                <w:rFonts w:asciiTheme="majorHAnsi" w:hAnsiTheme="majorHAnsi"/>
              </w:rPr>
            </w:pPr>
            <w:r w:rsidRPr="00AF2494">
              <w:rPr>
                <w:rFonts w:asciiTheme="majorHAnsi" w:hAnsiTheme="majorHAnsi"/>
              </w:rPr>
              <w:t>4,6</w:t>
            </w:r>
          </w:p>
        </w:tc>
        <w:tc>
          <w:tcPr>
            <w:tcW w:w="567" w:type="dxa"/>
            <w:tcBorders>
              <w:right w:val="single" w:sz="4" w:space="0" w:color="auto"/>
            </w:tcBorders>
            <w:vAlign w:val="center"/>
          </w:tcPr>
          <w:p w:rsidR="005556A5" w:rsidRPr="005556A5" w:rsidRDefault="005556A5" w:rsidP="00670B0E">
            <w:pPr>
              <w:jc w:val="center"/>
              <w:rPr>
                <w:rFonts w:asciiTheme="majorHAnsi" w:hAnsiTheme="majorHAnsi"/>
              </w:rPr>
            </w:pPr>
            <w:r w:rsidRPr="005556A5">
              <w:rPr>
                <w:rFonts w:asciiTheme="majorHAnsi" w:hAnsiTheme="majorHAnsi"/>
              </w:rPr>
              <w:t>1,8</w:t>
            </w:r>
          </w:p>
        </w:tc>
        <w:tc>
          <w:tcPr>
            <w:tcW w:w="567" w:type="dxa"/>
            <w:tcBorders>
              <w:left w:val="nil"/>
              <w:right w:val="double" w:sz="4" w:space="0" w:color="auto"/>
            </w:tcBorders>
            <w:vAlign w:val="center"/>
          </w:tcPr>
          <w:p w:rsidR="005556A5" w:rsidRPr="00AD6C4A" w:rsidRDefault="002B33BB" w:rsidP="00F93AB1">
            <w:pPr>
              <w:jc w:val="center"/>
              <w:rPr>
                <w:rFonts w:asciiTheme="majorHAnsi" w:hAnsiTheme="majorHAnsi"/>
                <w:b/>
                <w:color w:val="FF0000"/>
              </w:rPr>
            </w:pPr>
            <w:r w:rsidRPr="00AD6C4A">
              <w:rPr>
                <w:rFonts w:asciiTheme="majorHAnsi" w:hAnsiTheme="majorHAnsi"/>
                <w:b/>
                <w:color w:val="FF0000"/>
              </w:rPr>
              <w:t>2,7</w:t>
            </w:r>
          </w:p>
        </w:tc>
      </w:tr>
      <w:tr w:rsidR="005556A5" w:rsidRPr="00BC38B2">
        <w:tc>
          <w:tcPr>
            <w:tcW w:w="3472" w:type="dxa"/>
            <w:tcBorders>
              <w:left w:val="double" w:sz="4" w:space="0" w:color="auto"/>
              <w:bottom w:val="double" w:sz="4" w:space="0" w:color="auto"/>
            </w:tcBorders>
            <w:vAlign w:val="center"/>
          </w:tcPr>
          <w:p w:rsidR="005556A5" w:rsidRPr="005556A5" w:rsidRDefault="005556A5" w:rsidP="00F93AB1">
            <w:pPr>
              <w:rPr>
                <w:rFonts w:asciiTheme="majorHAnsi" w:hAnsiTheme="majorHAnsi"/>
              </w:rPr>
            </w:pPr>
            <w:r w:rsidRPr="005556A5">
              <w:rPr>
                <w:rFonts w:asciiTheme="majorHAnsi" w:hAnsiTheme="majorHAnsi"/>
              </w:rPr>
              <w:t>Taux d’épargne (Epargne brute / VAB)</w:t>
            </w:r>
          </w:p>
        </w:tc>
        <w:tc>
          <w:tcPr>
            <w:tcW w:w="567" w:type="dxa"/>
            <w:tcBorders>
              <w:bottom w:val="double" w:sz="4" w:space="0" w:color="auto"/>
            </w:tcBorders>
            <w:vAlign w:val="center"/>
          </w:tcPr>
          <w:p w:rsidR="005556A5" w:rsidRPr="005556A5" w:rsidRDefault="002B33BB" w:rsidP="00670B0E">
            <w:pPr>
              <w:jc w:val="center"/>
              <w:rPr>
                <w:rFonts w:asciiTheme="majorHAnsi" w:hAnsiTheme="majorHAnsi"/>
              </w:rPr>
            </w:pPr>
            <w:r>
              <w:rPr>
                <w:rFonts w:asciiTheme="majorHAnsi" w:hAnsiTheme="majorHAnsi"/>
              </w:rPr>
              <w:t>17,1</w:t>
            </w:r>
          </w:p>
        </w:tc>
        <w:tc>
          <w:tcPr>
            <w:tcW w:w="567" w:type="dxa"/>
            <w:tcBorders>
              <w:bottom w:val="double" w:sz="4" w:space="0" w:color="auto"/>
            </w:tcBorders>
            <w:vAlign w:val="center"/>
          </w:tcPr>
          <w:p w:rsidR="005556A5" w:rsidRPr="005556A5" w:rsidRDefault="002A374B" w:rsidP="00670B0E">
            <w:pPr>
              <w:jc w:val="center"/>
              <w:rPr>
                <w:rFonts w:asciiTheme="majorHAnsi" w:hAnsiTheme="majorHAnsi"/>
              </w:rPr>
            </w:pPr>
            <w:r>
              <w:rPr>
                <w:rFonts w:asciiTheme="majorHAnsi" w:hAnsiTheme="majorHAnsi"/>
              </w:rPr>
              <w:t>17,4</w:t>
            </w:r>
          </w:p>
        </w:tc>
        <w:tc>
          <w:tcPr>
            <w:tcW w:w="567" w:type="dxa"/>
            <w:tcBorders>
              <w:bottom w:val="double" w:sz="4" w:space="0" w:color="auto"/>
            </w:tcBorders>
            <w:vAlign w:val="center"/>
          </w:tcPr>
          <w:p w:rsidR="005556A5" w:rsidRPr="005556A5" w:rsidRDefault="002A374B" w:rsidP="00670B0E">
            <w:pPr>
              <w:jc w:val="center"/>
              <w:rPr>
                <w:rFonts w:asciiTheme="majorHAnsi" w:hAnsiTheme="majorHAnsi"/>
              </w:rPr>
            </w:pPr>
            <w:r>
              <w:rPr>
                <w:rFonts w:asciiTheme="majorHAnsi" w:hAnsiTheme="majorHAnsi"/>
              </w:rPr>
              <w:t>15,7</w:t>
            </w:r>
          </w:p>
        </w:tc>
        <w:tc>
          <w:tcPr>
            <w:tcW w:w="567" w:type="dxa"/>
            <w:tcBorders>
              <w:bottom w:val="double" w:sz="4" w:space="0" w:color="auto"/>
            </w:tcBorders>
            <w:vAlign w:val="center"/>
          </w:tcPr>
          <w:p w:rsidR="005556A5" w:rsidRPr="005556A5" w:rsidRDefault="00433133" w:rsidP="00670B0E">
            <w:pPr>
              <w:jc w:val="center"/>
              <w:rPr>
                <w:rFonts w:asciiTheme="majorHAnsi" w:hAnsiTheme="majorHAnsi"/>
              </w:rPr>
            </w:pPr>
            <w:r>
              <w:rPr>
                <w:rFonts w:asciiTheme="majorHAnsi" w:hAnsiTheme="majorHAnsi"/>
              </w:rPr>
              <w:t>16,2</w:t>
            </w:r>
          </w:p>
        </w:tc>
        <w:tc>
          <w:tcPr>
            <w:tcW w:w="567" w:type="dxa"/>
            <w:tcBorders>
              <w:bottom w:val="double" w:sz="4" w:space="0" w:color="auto"/>
            </w:tcBorders>
            <w:vAlign w:val="center"/>
          </w:tcPr>
          <w:p w:rsidR="005556A5" w:rsidRPr="005556A5" w:rsidRDefault="000166A8" w:rsidP="00670B0E">
            <w:pPr>
              <w:jc w:val="center"/>
              <w:rPr>
                <w:rFonts w:asciiTheme="majorHAnsi" w:hAnsiTheme="majorHAnsi"/>
              </w:rPr>
            </w:pPr>
            <w:r>
              <w:rPr>
                <w:rFonts w:asciiTheme="majorHAnsi" w:hAnsiTheme="majorHAnsi"/>
              </w:rPr>
              <w:t>15,4</w:t>
            </w:r>
          </w:p>
        </w:tc>
        <w:tc>
          <w:tcPr>
            <w:tcW w:w="567" w:type="dxa"/>
            <w:tcBorders>
              <w:bottom w:val="double" w:sz="4" w:space="0" w:color="auto"/>
            </w:tcBorders>
            <w:vAlign w:val="center"/>
          </w:tcPr>
          <w:p w:rsidR="005556A5" w:rsidRPr="005556A5" w:rsidRDefault="00E62A81" w:rsidP="00670B0E">
            <w:pPr>
              <w:jc w:val="center"/>
              <w:rPr>
                <w:rFonts w:asciiTheme="majorHAnsi" w:hAnsiTheme="majorHAnsi"/>
              </w:rPr>
            </w:pPr>
            <w:r>
              <w:rPr>
                <w:rFonts w:asciiTheme="majorHAnsi" w:hAnsiTheme="majorHAnsi"/>
              </w:rPr>
              <w:t>15,0</w:t>
            </w:r>
          </w:p>
        </w:tc>
        <w:tc>
          <w:tcPr>
            <w:tcW w:w="567" w:type="dxa"/>
            <w:tcBorders>
              <w:bottom w:val="double" w:sz="4" w:space="0" w:color="auto"/>
            </w:tcBorders>
            <w:vAlign w:val="center"/>
          </w:tcPr>
          <w:p w:rsidR="005556A5" w:rsidRPr="005556A5" w:rsidRDefault="00E31045" w:rsidP="00670B0E">
            <w:pPr>
              <w:jc w:val="center"/>
              <w:rPr>
                <w:rFonts w:asciiTheme="majorHAnsi" w:hAnsiTheme="majorHAnsi"/>
              </w:rPr>
            </w:pPr>
            <w:r>
              <w:rPr>
                <w:rFonts w:asciiTheme="majorHAnsi" w:hAnsiTheme="majorHAnsi"/>
              </w:rPr>
              <w:t>15,2</w:t>
            </w:r>
          </w:p>
        </w:tc>
        <w:tc>
          <w:tcPr>
            <w:tcW w:w="567" w:type="dxa"/>
            <w:tcBorders>
              <w:bottom w:val="double" w:sz="4" w:space="0" w:color="auto"/>
            </w:tcBorders>
            <w:vAlign w:val="center"/>
          </w:tcPr>
          <w:p w:rsidR="005556A5" w:rsidRPr="005556A5" w:rsidRDefault="00616316" w:rsidP="00670B0E">
            <w:pPr>
              <w:jc w:val="center"/>
              <w:rPr>
                <w:rFonts w:asciiTheme="majorHAnsi" w:hAnsiTheme="majorHAnsi"/>
                <w:color w:val="000000" w:themeColor="text1"/>
              </w:rPr>
            </w:pPr>
            <w:r>
              <w:rPr>
                <w:rFonts w:asciiTheme="majorHAnsi" w:hAnsiTheme="majorHAnsi"/>
                <w:color w:val="000000" w:themeColor="text1"/>
              </w:rPr>
              <w:t>16,5</w:t>
            </w:r>
          </w:p>
        </w:tc>
        <w:tc>
          <w:tcPr>
            <w:tcW w:w="567" w:type="dxa"/>
            <w:tcBorders>
              <w:bottom w:val="double" w:sz="4" w:space="0" w:color="auto"/>
            </w:tcBorders>
            <w:vAlign w:val="center"/>
          </w:tcPr>
          <w:p w:rsidR="005556A5" w:rsidRPr="00AF2494" w:rsidRDefault="005556A5" w:rsidP="00AF2494">
            <w:pPr>
              <w:jc w:val="center"/>
              <w:rPr>
                <w:rFonts w:asciiTheme="majorHAnsi" w:hAnsiTheme="majorHAnsi"/>
              </w:rPr>
            </w:pPr>
            <w:r w:rsidRPr="00AF2494">
              <w:rPr>
                <w:rFonts w:asciiTheme="majorHAnsi" w:hAnsiTheme="majorHAnsi"/>
              </w:rPr>
              <w:t>1</w:t>
            </w:r>
            <w:r w:rsidR="00AF2494" w:rsidRPr="00AF2494">
              <w:rPr>
                <w:rFonts w:asciiTheme="majorHAnsi" w:hAnsiTheme="majorHAnsi"/>
              </w:rPr>
              <w:t>4,0</w:t>
            </w:r>
          </w:p>
        </w:tc>
        <w:tc>
          <w:tcPr>
            <w:tcW w:w="567" w:type="dxa"/>
            <w:tcBorders>
              <w:bottom w:val="double" w:sz="4" w:space="0" w:color="auto"/>
              <w:right w:val="single" w:sz="4" w:space="0" w:color="auto"/>
            </w:tcBorders>
            <w:vAlign w:val="center"/>
          </w:tcPr>
          <w:p w:rsidR="005556A5" w:rsidRPr="005556A5" w:rsidRDefault="007822A1" w:rsidP="00670B0E">
            <w:pPr>
              <w:jc w:val="center"/>
              <w:rPr>
                <w:rFonts w:asciiTheme="majorHAnsi" w:hAnsiTheme="majorHAnsi"/>
              </w:rPr>
            </w:pPr>
            <w:r>
              <w:rPr>
                <w:rFonts w:asciiTheme="majorHAnsi" w:hAnsiTheme="majorHAnsi"/>
              </w:rPr>
              <w:t>13,5</w:t>
            </w:r>
          </w:p>
        </w:tc>
        <w:tc>
          <w:tcPr>
            <w:tcW w:w="567" w:type="dxa"/>
            <w:tcBorders>
              <w:left w:val="nil"/>
              <w:bottom w:val="double" w:sz="4" w:space="0" w:color="auto"/>
              <w:right w:val="double" w:sz="4" w:space="0" w:color="auto"/>
            </w:tcBorders>
            <w:vAlign w:val="center"/>
          </w:tcPr>
          <w:p w:rsidR="005556A5" w:rsidRPr="00AD6C4A" w:rsidRDefault="002B33BB" w:rsidP="00F93AB1">
            <w:pPr>
              <w:jc w:val="center"/>
              <w:rPr>
                <w:rFonts w:asciiTheme="majorHAnsi" w:hAnsiTheme="majorHAnsi"/>
                <w:b/>
                <w:color w:val="FF0000"/>
              </w:rPr>
            </w:pPr>
            <w:r w:rsidRPr="00AD6C4A">
              <w:rPr>
                <w:rFonts w:asciiTheme="majorHAnsi" w:hAnsiTheme="majorHAnsi"/>
                <w:b/>
                <w:color w:val="FF0000"/>
              </w:rPr>
              <w:t>14,7</w:t>
            </w:r>
          </w:p>
        </w:tc>
      </w:tr>
      <w:tr w:rsidR="00F93AB1" w:rsidRPr="00BC38B2">
        <w:tc>
          <w:tcPr>
            <w:tcW w:w="9709" w:type="dxa"/>
            <w:gridSpan w:val="12"/>
            <w:tcBorders>
              <w:left w:val="double" w:sz="4" w:space="0" w:color="auto"/>
              <w:right w:val="double" w:sz="4" w:space="0" w:color="auto"/>
            </w:tcBorders>
            <w:vAlign w:val="center"/>
          </w:tcPr>
          <w:p w:rsidR="00F93AB1" w:rsidRPr="00AF2494" w:rsidRDefault="00F93AB1" w:rsidP="00F93AB1">
            <w:pPr>
              <w:jc w:val="center"/>
              <w:rPr>
                <w:rFonts w:asciiTheme="majorHAnsi" w:hAnsiTheme="majorHAnsi"/>
                <w:b/>
                <w:sz w:val="22"/>
              </w:rPr>
            </w:pPr>
            <w:r w:rsidRPr="00AF2494">
              <w:rPr>
                <w:rFonts w:asciiTheme="majorHAnsi" w:hAnsiTheme="majorHAnsi"/>
                <w:b/>
              </w:rPr>
              <w:t>Utilisation de l’épargne Brute</w:t>
            </w:r>
          </w:p>
        </w:tc>
      </w:tr>
      <w:tr w:rsidR="005556A5" w:rsidRPr="00BC38B2">
        <w:tc>
          <w:tcPr>
            <w:tcW w:w="3472" w:type="dxa"/>
            <w:tcBorders>
              <w:left w:val="double" w:sz="4" w:space="0" w:color="auto"/>
            </w:tcBorders>
            <w:vAlign w:val="center"/>
          </w:tcPr>
          <w:p w:rsidR="005556A5" w:rsidRPr="005556A5" w:rsidRDefault="005556A5" w:rsidP="00F93AB1">
            <w:pPr>
              <w:rPr>
                <w:rFonts w:asciiTheme="majorHAnsi" w:hAnsiTheme="majorHAnsi"/>
              </w:rPr>
            </w:pPr>
            <w:r w:rsidRPr="005556A5">
              <w:rPr>
                <w:rFonts w:asciiTheme="majorHAnsi" w:hAnsiTheme="majorHAnsi"/>
              </w:rPr>
              <w:t>Taux d’investissement (FBCF / VAB)</w:t>
            </w:r>
          </w:p>
        </w:tc>
        <w:tc>
          <w:tcPr>
            <w:tcW w:w="567" w:type="dxa"/>
            <w:vAlign w:val="center"/>
          </w:tcPr>
          <w:p w:rsidR="005556A5" w:rsidRPr="005556A5" w:rsidRDefault="002B33BB" w:rsidP="00670B0E">
            <w:pPr>
              <w:jc w:val="center"/>
              <w:rPr>
                <w:rFonts w:asciiTheme="majorHAnsi" w:hAnsiTheme="majorHAnsi"/>
              </w:rPr>
            </w:pPr>
            <w:r>
              <w:rPr>
                <w:rFonts w:asciiTheme="majorHAnsi" w:hAnsiTheme="majorHAnsi"/>
              </w:rPr>
              <w:t>18,9</w:t>
            </w:r>
          </w:p>
        </w:tc>
        <w:tc>
          <w:tcPr>
            <w:tcW w:w="567" w:type="dxa"/>
            <w:vAlign w:val="center"/>
          </w:tcPr>
          <w:p w:rsidR="005556A5" w:rsidRPr="005556A5" w:rsidRDefault="002A374B" w:rsidP="00670B0E">
            <w:pPr>
              <w:jc w:val="center"/>
              <w:rPr>
                <w:rFonts w:asciiTheme="majorHAnsi" w:hAnsiTheme="majorHAnsi"/>
              </w:rPr>
            </w:pPr>
            <w:r>
              <w:rPr>
                <w:rFonts w:asciiTheme="majorHAnsi" w:hAnsiTheme="majorHAnsi"/>
              </w:rPr>
              <w:t>19,0</w:t>
            </w:r>
          </w:p>
        </w:tc>
        <w:tc>
          <w:tcPr>
            <w:tcW w:w="567" w:type="dxa"/>
            <w:vAlign w:val="center"/>
          </w:tcPr>
          <w:p w:rsidR="005556A5" w:rsidRPr="005556A5" w:rsidRDefault="002A374B" w:rsidP="00670B0E">
            <w:pPr>
              <w:jc w:val="center"/>
              <w:rPr>
                <w:rFonts w:asciiTheme="majorHAnsi" w:hAnsiTheme="majorHAnsi"/>
              </w:rPr>
            </w:pPr>
            <w:r>
              <w:rPr>
                <w:rFonts w:asciiTheme="majorHAnsi" w:hAnsiTheme="majorHAnsi"/>
              </w:rPr>
              <w:t>18,0</w:t>
            </w:r>
          </w:p>
        </w:tc>
        <w:tc>
          <w:tcPr>
            <w:tcW w:w="567" w:type="dxa"/>
            <w:vAlign w:val="center"/>
          </w:tcPr>
          <w:p w:rsidR="005556A5" w:rsidRPr="005556A5" w:rsidRDefault="00433133" w:rsidP="00670B0E">
            <w:pPr>
              <w:jc w:val="center"/>
              <w:rPr>
                <w:rFonts w:asciiTheme="majorHAnsi" w:hAnsiTheme="majorHAnsi"/>
              </w:rPr>
            </w:pPr>
            <w:r>
              <w:rPr>
                <w:rFonts w:asciiTheme="majorHAnsi" w:hAnsiTheme="majorHAnsi"/>
              </w:rPr>
              <w:t>17,5</w:t>
            </w:r>
          </w:p>
        </w:tc>
        <w:tc>
          <w:tcPr>
            <w:tcW w:w="567" w:type="dxa"/>
            <w:vAlign w:val="center"/>
          </w:tcPr>
          <w:p w:rsidR="005556A5" w:rsidRPr="005556A5" w:rsidRDefault="000166A8" w:rsidP="00670B0E">
            <w:pPr>
              <w:jc w:val="center"/>
              <w:rPr>
                <w:rFonts w:asciiTheme="majorHAnsi" w:hAnsiTheme="majorHAnsi"/>
              </w:rPr>
            </w:pPr>
            <w:r>
              <w:rPr>
                <w:rFonts w:asciiTheme="majorHAnsi" w:hAnsiTheme="majorHAnsi"/>
              </w:rPr>
              <w:t>17,7</w:t>
            </w:r>
          </w:p>
        </w:tc>
        <w:tc>
          <w:tcPr>
            <w:tcW w:w="567" w:type="dxa"/>
            <w:vAlign w:val="center"/>
          </w:tcPr>
          <w:p w:rsidR="005556A5" w:rsidRPr="005556A5" w:rsidRDefault="00E62A81" w:rsidP="00670B0E">
            <w:pPr>
              <w:jc w:val="center"/>
              <w:rPr>
                <w:rFonts w:asciiTheme="majorHAnsi" w:hAnsiTheme="majorHAnsi"/>
              </w:rPr>
            </w:pPr>
            <w:r>
              <w:rPr>
                <w:rFonts w:asciiTheme="majorHAnsi" w:hAnsiTheme="majorHAnsi"/>
              </w:rPr>
              <w:t>18</w:t>
            </w:r>
            <w:r w:rsidR="005556A5" w:rsidRPr="005556A5">
              <w:rPr>
                <w:rFonts w:asciiTheme="majorHAnsi" w:hAnsiTheme="majorHAnsi"/>
              </w:rPr>
              <w:t>,1</w:t>
            </w:r>
          </w:p>
        </w:tc>
        <w:tc>
          <w:tcPr>
            <w:tcW w:w="567" w:type="dxa"/>
            <w:vAlign w:val="center"/>
          </w:tcPr>
          <w:p w:rsidR="005556A5" w:rsidRPr="005556A5" w:rsidRDefault="00E31045" w:rsidP="00670B0E">
            <w:pPr>
              <w:jc w:val="center"/>
              <w:rPr>
                <w:rFonts w:asciiTheme="majorHAnsi" w:hAnsiTheme="majorHAnsi"/>
              </w:rPr>
            </w:pPr>
            <w:r>
              <w:rPr>
                <w:rFonts w:asciiTheme="majorHAnsi" w:hAnsiTheme="majorHAnsi"/>
              </w:rPr>
              <w:t>18,7</w:t>
            </w:r>
          </w:p>
        </w:tc>
        <w:tc>
          <w:tcPr>
            <w:tcW w:w="567" w:type="dxa"/>
            <w:vAlign w:val="center"/>
          </w:tcPr>
          <w:p w:rsidR="005556A5" w:rsidRPr="005556A5" w:rsidRDefault="00616316" w:rsidP="00670B0E">
            <w:pPr>
              <w:jc w:val="center"/>
              <w:rPr>
                <w:rFonts w:asciiTheme="majorHAnsi" w:hAnsiTheme="majorHAnsi"/>
                <w:color w:val="000000" w:themeColor="text1"/>
              </w:rPr>
            </w:pPr>
            <w:r>
              <w:rPr>
                <w:rFonts w:asciiTheme="majorHAnsi" w:hAnsiTheme="majorHAnsi"/>
                <w:color w:val="000000" w:themeColor="text1"/>
              </w:rPr>
              <w:t>19,7</w:t>
            </w:r>
          </w:p>
        </w:tc>
        <w:tc>
          <w:tcPr>
            <w:tcW w:w="567" w:type="dxa"/>
            <w:vAlign w:val="center"/>
          </w:tcPr>
          <w:p w:rsidR="005556A5" w:rsidRPr="00AF2494" w:rsidRDefault="005556A5" w:rsidP="00AF2494">
            <w:pPr>
              <w:jc w:val="center"/>
              <w:rPr>
                <w:rFonts w:asciiTheme="majorHAnsi" w:hAnsiTheme="majorHAnsi"/>
              </w:rPr>
            </w:pPr>
            <w:r w:rsidRPr="00AF2494">
              <w:rPr>
                <w:rFonts w:asciiTheme="majorHAnsi" w:hAnsiTheme="majorHAnsi"/>
              </w:rPr>
              <w:t>2</w:t>
            </w:r>
            <w:r w:rsidR="00AF2494" w:rsidRPr="00AF2494">
              <w:rPr>
                <w:rFonts w:asciiTheme="majorHAnsi" w:hAnsiTheme="majorHAnsi"/>
              </w:rPr>
              <w:t>0,2</w:t>
            </w:r>
          </w:p>
        </w:tc>
        <w:tc>
          <w:tcPr>
            <w:tcW w:w="567" w:type="dxa"/>
            <w:tcBorders>
              <w:right w:val="single" w:sz="4" w:space="0" w:color="auto"/>
            </w:tcBorders>
            <w:vAlign w:val="center"/>
          </w:tcPr>
          <w:p w:rsidR="005556A5" w:rsidRPr="005556A5" w:rsidRDefault="007822A1" w:rsidP="00670B0E">
            <w:pPr>
              <w:jc w:val="center"/>
              <w:rPr>
                <w:rFonts w:asciiTheme="majorHAnsi" w:hAnsiTheme="majorHAnsi"/>
              </w:rPr>
            </w:pPr>
            <w:r>
              <w:rPr>
                <w:rFonts w:asciiTheme="majorHAnsi" w:hAnsiTheme="majorHAnsi"/>
              </w:rPr>
              <w:t>18,5</w:t>
            </w:r>
          </w:p>
        </w:tc>
        <w:tc>
          <w:tcPr>
            <w:tcW w:w="567" w:type="dxa"/>
            <w:tcBorders>
              <w:left w:val="nil"/>
              <w:right w:val="double" w:sz="4" w:space="0" w:color="auto"/>
            </w:tcBorders>
            <w:vAlign w:val="center"/>
          </w:tcPr>
          <w:p w:rsidR="005556A5" w:rsidRPr="00AD6C4A" w:rsidRDefault="002B33BB" w:rsidP="00F93AB1">
            <w:pPr>
              <w:jc w:val="center"/>
              <w:rPr>
                <w:rFonts w:asciiTheme="majorHAnsi" w:hAnsiTheme="majorHAnsi"/>
                <w:b/>
                <w:color w:val="FF0000"/>
              </w:rPr>
            </w:pPr>
            <w:r w:rsidRPr="00AD6C4A">
              <w:rPr>
                <w:rFonts w:asciiTheme="majorHAnsi" w:hAnsiTheme="majorHAnsi"/>
                <w:b/>
                <w:color w:val="FF0000"/>
              </w:rPr>
              <w:t>18,7</w:t>
            </w:r>
          </w:p>
        </w:tc>
      </w:tr>
      <w:tr w:rsidR="005556A5" w:rsidRPr="00BC38B2">
        <w:tc>
          <w:tcPr>
            <w:tcW w:w="3472" w:type="dxa"/>
            <w:tcBorders>
              <w:left w:val="double" w:sz="4" w:space="0" w:color="auto"/>
            </w:tcBorders>
            <w:vAlign w:val="center"/>
          </w:tcPr>
          <w:p w:rsidR="005556A5" w:rsidRPr="005556A5" w:rsidRDefault="005556A5" w:rsidP="00F93AB1">
            <w:pPr>
              <w:rPr>
                <w:rFonts w:asciiTheme="majorHAnsi" w:hAnsiTheme="majorHAnsi"/>
              </w:rPr>
            </w:pPr>
            <w:r w:rsidRPr="005556A5">
              <w:rPr>
                <w:rFonts w:asciiTheme="majorHAnsi" w:hAnsiTheme="majorHAnsi"/>
              </w:rPr>
              <w:t>Taux d’autofinancement (Epargne brute / FBCF</w:t>
            </w:r>
          </w:p>
        </w:tc>
        <w:tc>
          <w:tcPr>
            <w:tcW w:w="567" w:type="dxa"/>
            <w:vAlign w:val="center"/>
          </w:tcPr>
          <w:p w:rsidR="005556A5" w:rsidRPr="005556A5" w:rsidRDefault="002B33BB" w:rsidP="00670B0E">
            <w:pPr>
              <w:jc w:val="center"/>
              <w:rPr>
                <w:rFonts w:asciiTheme="majorHAnsi" w:hAnsiTheme="majorHAnsi"/>
              </w:rPr>
            </w:pPr>
            <w:r>
              <w:rPr>
                <w:rFonts w:asciiTheme="majorHAnsi" w:hAnsiTheme="majorHAnsi"/>
              </w:rPr>
              <w:t>90,6</w:t>
            </w:r>
          </w:p>
        </w:tc>
        <w:tc>
          <w:tcPr>
            <w:tcW w:w="567" w:type="dxa"/>
            <w:vAlign w:val="center"/>
          </w:tcPr>
          <w:p w:rsidR="005556A5" w:rsidRPr="005556A5" w:rsidRDefault="002A374B" w:rsidP="00670B0E">
            <w:pPr>
              <w:jc w:val="center"/>
              <w:rPr>
                <w:rFonts w:asciiTheme="majorHAnsi" w:hAnsiTheme="majorHAnsi"/>
              </w:rPr>
            </w:pPr>
            <w:r>
              <w:rPr>
                <w:rFonts w:asciiTheme="majorHAnsi" w:hAnsiTheme="majorHAnsi"/>
              </w:rPr>
              <w:t>91,6</w:t>
            </w:r>
          </w:p>
        </w:tc>
        <w:tc>
          <w:tcPr>
            <w:tcW w:w="567" w:type="dxa"/>
            <w:vAlign w:val="center"/>
          </w:tcPr>
          <w:p w:rsidR="005556A5" w:rsidRPr="005556A5" w:rsidRDefault="002A374B" w:rsidP="00670B0E">
            <w:pPr>
              <w:jc w:val="center"/>
              <w:rPr>
                <w:rFonts w:asciiTheme="majorHAnsi" w:hAnsiTheme="majorHAnsi"/>
              </w:rPr>
            </w:pPr>
            <w:r>
              <w:rPr>
                <w:rFonts w:asciiTheme="majorHAnsi" w:hAnsiTheme="majorHAnsi"/>
              </w:rPr>
              <w:t>87,3</w:t>
            </w:r>
          </w:p>
        </w:tc>
        <w:tc>
          <w:tcPr>
            <w:tcW w:w="567" w:type="dxa"/>
            <w:vAlign w:val="center"/>
          </w:tcPr>
          <w:p w:rsidR="005556A5" w:rsidRPr="005556A5" w:rsidRDefault="00433133" w:rsidP="00670B0E">
            <w:pPr>
              <w:jc w:val="center"/>
              <w:rPr>
                <w:rFonts w:asciiTheme="majorHAnsi" w:hAnsiTheme="majorHAnsi"/>
              </w:rPr>
            </w:pPr>
            <w:r>
              <w:rPr>
                <w:rFonts w:asciiTheme="majorHAnsi" w:hAnsiTheme="majorHAnsi"/>
              </w:rPr>
              <w:t>92,9</w:t>
            </w:r>
          </w:p>
        </w:tc>
        <w:tc>
          <w:tcPr>
            <w:tcW w:w="567" w:type="dxa"/>
            <w:vAlign w:val="center"/>
          </w:tcPr>
          <w:p w:rsidR="005556A5" w:rsidRPr="005556A5" w:rsidRDefault="000166A8" w:rsidP="00670B0E">
            <w:pPr>
              <w:jc w:val="center"/>
              <w:rPr>
                <w:rFonts w:asciiTheme="majorHAnsi" w:hAnsiTheme="majorHAnsi"/>
              </w:rPr>
            </w:pPr>
            <w:r>
              <w:rPr>
                <w:rFonts w:asciiTheme="majorHAnsi" w:hAnsiTheme="majorHAnsi"/>
              </w:rPr>
              <w:t>87,4</w:t>
            </w:r>
          </w:p>
        </w:tc>
        <w:tc>
          <w:tcPr>
            <w:tcW w:w="567" w:type="dxa"/>
            <w:vAlign w:val="center"/>
          </w:tcPr>
          <w:p w:rsidR="005556A5" w:rsidRPr="005556A5" w:rsidRDefault="00E62A81" w:rsidP="00670B0E">
            <w:pPr>
              <w:jc w:val="center"/>
              <w:rPr>
                <w:rFonts w:asciiTheme="majorHAnsi" w:hAnsiTheme="majorHAnsi"/>
              </w:rPr>
            </w:pPr>
            <w:r>
              <w:rPr>
                <w:rFonts w:asciiTheme="majorHAnsi" w:hAnsiTheme="majorHAnsi"/>
              </w:rPr>
              <w:t>82,8</w:t>
            </w:r>
          </w:p>
        </w:tc>
        <w:tc>
          <w:tcPr>
            <w:tcW w:w="567" w:type="dxa"/>
            <w:vAlign w:val="center"/>
          </w:tcPr>
          <w:p w:rsidR="005556A5" w:rsidRPr="005556A5" w:rsidRDefault="00E31045" w:rsidP="00670B0E">
            <w:pPr>
              <w:jc w:val="center"/>
              <w:rPr>
                <w:rFonts w:asciiTheme="majorHAnsi" w:hAnsiTheme="majorHAnsi"/>
              </w:rPr>
            </w:pPr>
            <w:r>
              <w:rPr>
                <w:rFonts w:asciiTheme="majorHAnsi" w:hAnsiTheme="majorHAnsi"/>
              </w:rPr>
              <w:t>81,6</w:t>
            </w:r>
          </w:p>
        </w:tc>
        <w:tc>
          <w:tcPr>
            <w:tcW w:w="567" w:type="dxa"/>
            <w:vAlign w:val="center"/>
          </w:tcPr>
          <w:p w:rsidR="005556A5" w:rsidRPr="007822A1" w:rsidRDefault="00616316" w:rsidP="00670B0E">
            <w:pPr>
              <w:jc w:val="center"/>
              <w:rPr>
                <w:rFonts w:asciiTheme="majorHAnsi" w:hAnsiTheme="majorHAnsi"/>
              </w:rPr>
            </w:pPr>
            <w:r w:rsidRPr="007822A1">
              <w:rPr>
                <w:rFonts w:asciiTheme="majorHAnsi" w:hAnsiTheme="majorHAnsi"/>
              </w:rPr>
              <w:t>83,8</w:t>
            </w:r>
          </w:p>
        </w:tc>
        <w:tc>
          <w:tcPr>
            <w:tcW w:w="567" w:type="dxa"/>
            <w:vAlign w:val="center"/>
          </w:tcPr>
          <w:p w:rsidR="005556A5" w:rsidRPr="00AF2494" w:rsidRDefault="00AF2494" w:rsidP="00AF2494">
            <w:pPr>
              <w:jc w:val="center"/>
              <w:rPr>
                <w:rFonts w:asciiTheme="majorHAnsi" w:hAnsiTheme="majorHAnsi"/>
              </w:rPr>
            </w:pPr>
            <w:r w:rsidRPr="00AF2494">
              <w:rPr>
                <w:rFonts w:asciiTheme="majorHAnsi" w:hAnsiTheme="majorHAnsi"/>
              </w:rPr>
              <w:t>69,3</w:t>
            </w:r>
          </w:p>
        </w:tc>
        <w:tc>
          <w:tcPr>
            <w:tcW w:w="567" w:type="dxa"/>
            <w:tcBorders>
              <w:right w:val="single" w:sz="4" w:space="0" w:color="auto"/>
            </w:tcBorders>
            <w:vAlign w:val="center"/>
          </w:tcPr>
          <w:p w:rsidR="005556A5" w:rsidRPr="005556A5" w:rsidRDefault="007822A1" w:rsidP="00670B0E">
            <w:pPr>
              <w:jc w:val="center"/>
              <w:rPr>
                <w:rFonts w:asciiTheme="majorHAnsi" w:hAnsiTheme="majorHAnsi"/>
              </w:rPr>
            </w:pPr>
            <w:r>
              <w:rPr>
                <w:rFonts w:asciiTheme="majorHAnsi" w:hAnsiTheme="majorHAnsi"/>
              </w:rPr>
              <w:t>72,9</w:t>
            </w:r>
          </w:p>
        </w:tc>
        <w:tc>
          <w:tcPr>
            <w:tcW w:w="567" w:type="dxa"/>
            <w:tcBorders>
              <w:left w:val="nil"/>
              <w:right w:val="double" w:sz="4" w:space="0" w:color="auto"/>
            </w:tcBorders>
            <w:vAlign w:val="center"/>
          </w:tcPr>
          <w:p w:rsidR="005556A5" w:rsidRPr="00AD6C4A" w:rsidRDefault="002B33BB" w:rsidP="00F93AB1">
            <w:pPr>
              <w:jc w:val="center"/>
              <w:rPr>
                <w:rFonts w:asciiTheme="majorHAnsi" w:hAnsiTheme="majorHAnsi"/>
                <w:b/>
                <w:color w:val="FF0000"/>
              </w:rPr>
            </w:pPr>
            <w:r w:rsidRPr="00AD6C4A">
              <w:rPr>
                <w:rFonts w:asciiTheme="majorHAnsi" w:hAnsiTheme="majorHAnsi"/>
                <w:b/>
                <w:color w:val="FF0000"/>
              </w:rPr>
              <w:t>78,7</w:t>
            </w:r>
          </w:p>
        </w:tc>
      </w:tr>
      <w:tr w:rsidR="005556A5" w:rsidRPr="00BC38B2">
        <w:tc>
          <w:tcPr>
            <w:tcW w:w="3472" w:type="dxa"/>
            <w:tcBorders>
              <w:left w:val="double" w:sz="4" w:space="0" w:color="auto"/>
              <w:bottom w:val="double" w:sz="4" w:space="0" w:color="auto"/>
            </w:tcBorders>
            <w:vAlign w:val="center"/>
          </w:tcPr>
          <w:p w:rsidR="005556A5" w:rsidRPr="005556A5" w:rsidRDefault="005556A5" w:rsidP="00F93AB1">
            <w:pPr>
              <w:rPr>
                <w:rFonts w:asciiTheme="majorHAnsi" w:hAnsiTheme="majorHAnsi"/>
              </w:rPr>
            </w:pPr>
            <w:r w:rsidRPr="005556A5">
              <w:rPr>
                <w:rFonts w:asciiTheme="majorHAnsi" w:hAnsiTheme="majorHAnsi"/>
              </w:rPr>
              <w:t>Capacité ou besoin en financement (Mrds d’euros)</w:t>
            </w:r>
          </w:p>
        </w:tc>
        <w:tc>
          <w:tcPr>
            <w:tcW w:w="567" w:type="dxa"/>
            <w:tcBorders>
              <w:bottom w:val="double" w:sz="4" w:space="0" w:color="auto"/>
            </w:tcBorders>
            <w:vAlign w:val="center"/>
          </w:tcPr>
          <w:p w:rsidR="005556A5" w:rsidRPr="005556A5" w:rsidRDefault="002B33BB" w:rsidP="00670B0E">
            <w:pPr>
              <w:jc w:val="center"/>
              <w:rPr>
                <w:rFonts w:asciiTheme="majorHAnsi" w:hAnsiTheme="majorHAnsi"/>
                <w:i/>
              </w:rPr>
            </w:pPr>
            <w:r>
              <w:rPr>
                <w:rFonts w:asciiTheme="majorHAnsi" w:hAnsiTheme="majorHAnsi"/>
                <w:i/>
              </w:rPr>
              <w:t>-18,1</w:t>
            </w:r>
          </w:p>
        </w:tc>
        <w:tc>
          <w:tcPr>
            <w:tcW w:w="567" w:type="dxa"/>
            <w:tcBorders>
              <w:bottom w:val="double" w:sz="4" w:space="0" w:color="auto"/>
            </w:tcBorders>
            <w:vAlign w:val="center"/>
          </w:tcPr>
          <w:p w:rsidR="005556A5" w:rsidRPr="005556A5" w:rsidRDefault="002A374B" w:rsidP="00670B0E">
            <w:pPr>
              <w:jc w:val="center"/>
              <w:rPr>
                <w:rFonts w:asciiTheme="majorHAnsi" w:hAnsiTheme="majorHAnsi"/>
                <w:i/>
              </w:rPr>
            </w:pPr>
            <w:r>
              <w:rPr>
                <w:rFonts w:asciiTheme="majorHAnsi" w:hAnsiTheme="majorHAnsi"/>
                <w:i/>
              </w:rPr>
              <w:t>-10,1</w:t>
            </w:r>
          </w:p>
        </w:tc>
        <w:tc>
          <w:tcPr>
            <w:tcW w:w="567" w:type="dxa"/>
            <w:tcBorders>
              <w:bottom w:val="double" w:sz="4" w:space="0" w:color="auto"/>
            </w:tcBorders>
            <w:vAlign w:val="center"/>
          </w:tcPr>
          <w:p w:rsidR="005556A5" w:rsidRPr="005556A5" w:rsidRDefault="002A374B" w:rsidP="00670B0E">
            <w:pPr>
              <w:jc w:val="center"/>
              <w:rPr>
                <w:rFonts w:asciiTheme="majorHAnsi" w:hAnsiTheme="majorHAnsi"/>
                <w:i/>
              </w:rPr>
            </w:pPr>
            <w:r>
              <w:rPr>
                <w:rFonts w:asciiTheme="majorHAnsi" w:hAnsiTheme="majorHAnsi"/>
                <w:i/>
              </w:rPr>
              <w:t>-11,6</w:t>
            </w:r>
          </w:p>
        </w:tc>
        <w:tc>
          <w:tcPr>
            <w:tcW w:w="567" w:type="dxa"/>
            <w:tcBorders>
              <w:bottom w:val="double" w:sz="4" w:space="0" w:color="auto"/>
            </w:tcBorders>
            <w:vAlign w:val="center"/>
          </w:tcPr>
          <w:p w:rsidR="005556A5" w:rsidRPr="005556A5" w:rsidRDefault="00433133" w:rsidP="00670B0E">
            <w:pPr>
              <w:jc w:val="center"/>
              <w:rPr>
                <w:rFonts w:asciiTheme="majorHAnsi" w:hAnsiTheme="majorHAnsi"/>
                <w:i/>
              </w:rPr>
            </w:pPr>
            <w:r>
              <w:rPr>
                <w:rFonts w:asciiTheme="majorHAnsi" w:hAnsiTheme="majorHAnsi"/>
                <w:i/>
              </w:rPr>
              <w:t>-10,9</w:t>
            </w:r>
          </w:p>
        </w:tc>
        <w:tc>
          <w:tcPr>
            <w:tcW w:w="567" w:type="dxa"/>
            <w:tcBorders>
              <w:bottom w:val="double" w:sz="4" w:space="0" w:color="auto"/>
            </w:tcBorders>
            <w:vAlign w:val="center"/>
          </w:tcPr>
          <w:p w:rsidR="005556A5" w:rsidRPr="005556A5" w:rsidRDefault="000166A8" w:rsidP="00670B0E">
            <w:pPr>
              <w:jc w:val="center"/>
              <w:rPr>
                <w:rFonts w:asciiTheme="majorHAnsi" w:hAnsiTheme="majorHAnsi"/>
                <w:i/>
              </w:rPr>
            </w:pPr>
            <w:r>
              <w:rPr>
                <w:rFonts w:asciiTheme="majorHAnsi" w:hAnsiTheme="majorHAnsi"/>
                <w:i/>
              </w:rPr>
              <w:t>-13,1</w:t>
            </w:r>
          </w:p>
        </w:tc>
        <w:tc>
          <w:tcPr>
            <w:tcW w:w="567" w:type="dxa"/>
            <w:tcBorders>
              <w:bottom w:val="double" w:sz="4" w:space="0" w:color="auto"/>
            </w:tcBorders>
            <w:vAlign w:val="center"/>
          </w:tcPr>
          <w:p w:rsidR="005556A5" w:rsidRPr="005556A5" w:rsidRDefault="00E62A81" w:rsidP="00670B0E">
            <w:pPr>
              <w:jc w:val="center"/>
              <w:rPr>
                <w:rFonts w:asciiTheme="majorHAnsi" w:hAnsiTheme="majorHAnsi"/>
                <w:i/>
              </w:rPr>
            </w:pPr>
            <w:r>
              <w:rPr>
                <w:rFonts w:asciiTheme="majorHAnsi" w:hAnsiTheme="majorHAnsi"/>
                <w:i/>
              </w:rPr>
              <w:t>-34,2</w:t>
            </w:r>
          </w:p>
        </w:tc>
        <w:tc>
          <w:tcPr>
            <w:tcW w:w="567" w:type="dxa"/>
            <w:tcBorders>
              <w:bottom w:val="double" w:sz="4" w:space="0" w:color="auto"/>
            </w:tcBorders>
            <w:vAlign w:val="center"/>
          </w:tcPr>
          <w:p w:rsidR="005556A5" w:rsidRPr="005556A5" w:rsidRDefault="00E31045" w:rsidP="00670B0E">
            <w:pPr>
              <w:jc w:val="center"/>
              <w:rPr>
                <w:rFonts w:asciiTheme="majorHAnsi" w:hAnsiTheme="majorHAnsi"/>
                <w:i/>
              </w:rPr>
            </w:pPr>
            <w:r>
              <w:rPr>
                <w:rFonts w:asciiTheme="majorHAnsi" w:hAnsiTheme="majorHAnsi"/>
                <w:i/>
              </w:rPr>
              <w:t>-39,0</w:t>
            </w:r>
          </w:p>
        </w:tc>
        <w:tc>
          <w:tcPr>
            <w:tcW w:w="567" w:type="dxa"/>
            <w:tcBorders>
              <w:bottom w:val="double" w:sz="4" w:space="0" w:color="auto"/>
            </w:tcBorders>
            <w:vAlign w:val="center"/>
          </w:tcPr>
          <w:p w:rsidR="005556A5" w:rsidRPr="005556A5" w:rsidRDefault="005556A5" w:rsidP="00616316">
            <w:pPr>
              <w:jc w:val="center"/>
              <w:rPr>
                <w:rFonts w:asciiTheme="majorHAnsi" w:hAnsiTheme="majorHAnsi"/>
                <w:i/>
                <w:color w:val="000000" w:themeColor="text1"/>
              </w:rPr>
            </w:pPr>
            <w:r w:rsidRPr="005556A5">
              <w:rPr>
                <w:rFonts w:asciiTheme="majorHAnsi" w:hAnsiTheme="majorHAnsi"/>
                <w:i/>
                <w:color w:val="000000" w:themeColor="text1"/>
              </w:rPr>
              <w:t>-</w:t>
            </w:r>
            <w:r w:rsidR="00616316">
              <w:rPr>
                <w:rFonts w:asciiTheme="majorHAnsi" w:hAnsiTheme="majorHAnsi"/>
                <w:i/>
                <w:color w:val="000000" w:themeColor="text1"/>
              </w:rPr>
              <w:t>37,7</w:t>
            </w:r>
          </w:p>
        </w:tc>
        <w:tc>
          <w:tcPr>
            <w:tcW w:w="567" w:type="dxa"/>
            <w:tcBorders>
              <w:bottom w:val="double" w:sz="4" w:space="0" w:color="auto"/>
            </w:tcBorders>
            <w:vAlign w:val="center"/>
          </w:tcPr>
          <w:p w:rsidR="005556A5" w:rsidRPr="00AF2494" w:rsidRDefault="00AF2494" w:rsidP="00670B0E">
            <w:pPr>
              <w:jc w:val="center"/>
              <w:rPr>
                <w:rFonts w:asciiTheme="majorHAnsi" w:hAnsiTheme="majorHAnsi" w:cs="Arial"/>
                <w:bCs/>
                <w:i/>
              </w:rPr>
            </w:pPr>
            <w:r w:rsidRPr="00AF2494">
              <w:rPr>
                <w:rFonts w:asciiTheme="majorHAnsi" w:hAnsiTheme="majorHAnsi" w:cs="Arial"/>
                <w:bCs/>
                <w:i/>
              </w:rPr>
              <w:t>-58,0</w:t>
            </w:r>
          </w:p>
        </w:tc>
        <w:tc>
          <w:tcPr>
            <w:tcW w:w="567" w:type="dxa"/>
            <w:tcBorders>
              <w:bottom w:val="double" w:sz="4" w:space="0" w:color="auto"/>
              <w:right w:val="single" w:sz="4" w:space="0" w:color="auto"/>
            </w:tcBorders>
            <w:vAlign w:val="center"/>
          </w:tcPr>
          <w:p w:rsidR="005556A5" w:rsidRPr="005556A5" w:rsidRDefault="005556A5" w:rsidP="00670B0E">
            <w:pPr>
              <w:jc w:val="center"/>
              <w:rPr>
                <w:rFonts w:asciiTheme="majorHAnsi" w:hAnsiTheme="majorHAnsi"/>
                <w:i/>
              </w:rPr>
            </w:pPr>
            <w:r w:rsidRPr="005556A5">
              <w:rPr>
                <w:rFonts w:asciiTheme="majorHAnsi" w:hAnsiTheme="majorHAnsi"/>
                <w:i/>
              </w:rPr>
              <w:t>-</w:t>
            </w:r>
            <w:r w:rsidR="007822A1">
              <w:rPr>
                <w:rFonts w:asciiTheme="majorHAnsi" w:hAnsiTheme="majorHAnsi"/>
                <w:i/>
              </w:rPr>
              <w:t>18,7</w:t>
            </w:r>
          </w:p>
        </w:tc>
        <w:tc>
          <w:tcPr>
            <w:tcW w:w="567" w:type="dxa"/>
            <w:tcBorders>
              <w:left w:val="nil"/>
              <w:bottom w:val="double" w:sz="4" w:space="0" w:color="auto"/>
              <w:right w:val="double" w:sz="4" w:space="0" w:color="auto"/>
            </w:tcBorders>
            <w:vAlign w:val="center"/>
          </w:tcPr>
          <w:p w:rsidR="005556A5" w:rsidRPr="00AD6C4A" w:rsidRDefault="002B33BB" w:rsidP="00F93AB1">
            <w:pPr>
              <w:jc w:val="center"/>
              <w:rPr>
                <w:rFonts w:asciiTheme="majorHAnsi" w:hAnsiTheme="majorHAnsi"/>
                <w:b/>
                <w:i/>
                <w:color w:val="FF0000"/>
                <w:sz w:val="18"/>
                <w:szCs w:val="18"/>
              </w:rPr>
            </w:pPr>
            <w:r w:rsidRPr="00AD6C4A">
              <w:rPr>
                <w:rFonts w:asciiTheme="majorHAnsi" w:hAnsiTheme="majorHAnsi"/>
                <w:b/>
                <w:i/>
                <w:color w:val="FF0000"/>
                <w:sz w:val="18"/>
                <w:szCs w:val="18"/>
              </w:rPr>
              <w:t>-25,4</w:t>
            </w:r>
          </w:p>
        </w:tc>
      </w:tr>
    </w:tbl>
    <w:p w:rsidR="00F93AB1" w:rsidRPr="00BC38B2" w:rsidRDefault="00F93AB1" w:rsidP="00F93AB1">
      <w:pPr>
        <w:ind w:firstLine="709"/>
        <w:rPr>
          <w:rFonts w:ascii="Bell MT" w:hAnsi="Bell MT"/>
        </w:rPr>
      </w:pPr>
    </w:p>
    <w:p w:rsidR="00F93AB1" w:rsidRPr="005556A5" w:rsidRDefault="00F93AB1" w:rsidP="00F93AB1">
      <w:pPr>
        <w:pStyle w:val="BodyTextIndent"/>
        <w:numPr>
          <w:ilvl w:val="0"/>
          <w:numId w:val="3"/>
        </w:numPr>
        <w:rPr>
          <w:rFonts w:asciiTheme="majorHAnsi" w:hAnsiTheme="majorHAnsi"/>
          <w:b/>
          <w:sz w:val="20"/>
        </w:rPr>
      </w:pPr>
      <w:r w:rsidRPr="005556A5">
        <w:rPr>
          <w:rFonts w:asciiTheme="majorHAnsi" w:hAnsiTheme="majorHAnsi"/>
          <w:b/>
          <w:sz w:val="20"/>
        </w:rPr>
        <w:t xml:space="preserve">Commentez la signification et l’évolution de ces ratios depuis </w:t>
      </w:r>
      <w:r w:rsidR="005556A5" w:rsidRPr="005556A5">
        <w:rPr>
          <w:rFonts w:asciiTheme="majorHAnsi" w:hAnsiTheme="majorHAnsi"/>
          <w:b/>
          <w:sz w:val="20"/>
        </w:rPr>
        <w:t>2000</w:t>
      </w:r>
      <w:r w:rsidRPr="005556A5">
        <w:rPr>
          <w:rFonts w:asciiTheme="majorHAnsi" w:hAnsiTheme="majorHAnsi"/>
          <w:b/>
          <w:sz w:val="20"/>
        </w:rPr>
        <w:t xml:space="preserve"> (graphiques d’évolution de chacun de ces ratios réalisés sous EXCEL fournis en annexes).</w:t>
      </w:r>
    </w:p>
    <w:p w:rsidR="00F93AB1" w:rsidRPr="005556A5" w:rsidRDefault="00F93AB1" w:rsidP="00F93AB1">
      <w:pPr>
        <w:pStyle w:val="BodyTextIndent"/>
        <w:ind w:left="709" w:firstLine="0"/>
        <w:rPr>
          <w:rFonts w:asciiTheme="majorHAnsi" w:hAnsiTheme="majorHAnsi"/>
          <w:b/>
          <w:sz w:val="20"/>
        </w:rPr>
      </w:pPr>
    </w:p>
    <w:p w:rsidR="00F93AB1" w:rsidRPr="005556A5" w:rsidRDefault="00F93AB1" w:rsidP="00F93AB1">
      <w:pPr>
        <w:ind w:left="709"/>
        <w:jc w:val="both"/>
        <w:rPr>
          <w:rFonts w:asciiTheme="majorHAnsi" w:hAnsiTheme="majorHAnsi"/>
        </w:rPr>
      </w:pPr>
      <w:r w:rsidRPr="005556A5">
        <w:rPr>
          <w:rFonts w:asciiTheme="majorHAnsi" w:hAnsiTheme="majorHAnsi"/>
          <w:b/>
          <w:u w:val="single"/>
        </w:rPr>
        <w:t>Remarques sur le calcul des ratios</w:t>
      </w:r>
      <w:r w:rsidRPr="005556A5">
        <w:rPr>
          <w:rFonts w:asciiTheme="majorHAnsi" w:hAnsiTheme="majorHAnsi"/>
        </w:rPr>
        <w:t xml:space="preserve"> : </w:t>
      </w:r>
    </w:p>
    <w:p w:rsidR="00F93AB1" w:rsidRPr="005556A5" w:rsidRDefault="00F93AB1" w:rsidP="00F93AB1">
      <w:pPr>
        <w:ind w:left="709"/>
        <w:jc w:val="both"/>
        <w:rPr>
          <w:rFonts w:asciiTheme="majorHAnsi" w:hAnsiTheme="majorHAnsi"/>
        </w:rPr>
      </w:pPr>
    </w:p>
    <w:p w:rsidR="00F93AB1" w:rsidRPr="005556A5" w:rsidRDefault="00F93AB1" w:rsidP="00F93AB1">
      <w:pPr>
        <w:numPr>
          <w:ilvl w:val="0"/>
          <w:numId w:val="1"/>
        </w:numPr>
        <w:tabs>
          <w:tab w:val="clear" w:pos="360"/>
          <w:tab w:val="num" w:pos="1069"/>
        </w:tabs>
        <w:ind w:left="1069"/>
        <w:jc w:val="both"/>
        <w:rPr>
          <w:rFonts w:asciiTheme="majorHAnsi" w:hAnsiTheme="majorHAnsi"/>
        </w:rPr>
      </w:pPr>
      <w:r w:rsidRPr="005556A5">
        <w:rPr>
          <w:rFonts w:asciiTheme="majorHAnsi" w:hAnsiTheme="majorHAnsi"/>
        </w:rPr>
        <w:t>Les rémunérations globales des salariés comprennent les salaires et traitements bruts et les cotisations sociales employeurs : la somme représente le coût global du travail pour les SNF.</w:t>
      </w:r>
    </w:p>
    <w:p w:rsidR="00F93AB1" w:rsidRPr="005556A5" w:rsidRDefault="00F93AB1" w:rsidP="00F93AB1">
      <w:pPr>
        <w:numPr>
          <w:ilvl w:val="0"/>
          <w:numId w:val="1"/>
        </w:numPr>
        <w:tabs>
          <w:tab w:val="clear" w:pos="360"/>
          <w:tab w:val="num" w:pos="1069"/>
        </w:tabs>
        <w:ind w:left="1069"/>
        <w:jc w:val="both"/>
        <w:rPr>
          <w:rFonts w:asciiTheme="majorHAnsi" w:hAnsiTheme="majorHAnsi"/>
        </w:rPr>
      </w:pPr>
      <w:r w:rsidRPr="005556A5">
        <w:rPr>
          <w:rFonts w:asciiTheme="majorHAnsi" w:hAnsiTheme="majorHAnsi"/>
        </w:rPr>
        <w:t>Les impôts nets sur la production et les importations se calculent subventions d’exploitation déduites.</w:t>
      </w:r>
    </w:p>
    <w:p w:rsidR="00F93AB1" w:rsidRPr="005556A5" w:rsidRDefault="00F93AB1" w:rsidP="00F93AB1">
      <w:pPr>
        <w:numPr>
          <w:ilvl w:val="0"/>
          <w:numId w:val="1"/>
        </w:numPr>
        <w:tabs>
          <w:tab w:val="clear" w:pos="360"/>
          <w:tab w:val="num" w:pos="1069"/>
        </w:tabs>
        <w:ind w:left="1069"/>
        <w:jc w:val="both"/>
        <w:rPr>
          <w:rFonts w:asciiTheme="majorHAnsi" w:hAnsiTheme="majorHAnsi"/>
        </w:rPr>
      </w:pPr>
      <w:r w:rsidRPr="005556A5">
        <w:rPr>
          <w:rFonts w:asciiTheme="majorHAnsi" w:hAnsiTheme="majorHAnsi"/>
        </w:rPr>
        <w:t>Les revenus de la propriété et de l’entreprise perçus comprennent les intérêts, revenus distribués des sociétés et autres revenus de la propriété perçus par les SNF. Le total des ressources en revenus primaires perçus comprend l’ensemble de ces revenus auxquels s’ajoute l’excédent brut d’exploitation.</w:t>
      </w:r>
    </w:p>
    <w:p w:rsidR="00F93AB1" w:rsidRPr="005556A5" w:rsidRDefault="00F93AB1" w:rsidP="00F93AB1">
      <w:pPr>
        <w:numPr>
          <w:ilvl w:val="0"/>
          <w:numId w:val="1"/>
        </w:numPr>
        <w:tabs>
          <w:tab w:val="clear" w:pos="360"/>
          <w:tab w:val="num" w:pos="1069"/>
        </w:tabs>
        <w:ind w:left="1069"/>
        <w:jc w:val="both"/>
        <w:rPr>
          <w:rFonts w:asciiTheme="majorHAnsi" w:hAnsiTheme="majorHAnsi"/>
          <w:b/>
          <w:i/>
        </w:rPr>
      </w:pPr>
      <w:r w:rsidRPr="005556A5">
        <w:rPr>
          <w:rFonts w:asciiTheme="majorHAnsi" w:hAnsiTheme="majorHAnsi"/>
          <w:b/>
          <w:i/>
        </w:rPr>
        <w:t>Les ratios ont tous été correctement arrondis à la première décimale.</w:t>
      </w:r>
    </w:p>
    <w:p w:rsidR="00F93AB1" w:rsidRPr="00BC38B2" w:rsidRDefault="00F93AB1" w:rsidP="00F93AB1">
      <w:pPr>
        <w:jc w:val="both"/>
        <w:rPr>
          <w:rFonts w:ascii="Bell MT" w:hAnsi="Bell MT"/>
        </w:rPr>
      </w:pPr>
    </w:p>
    <w:p w:rsidR="00F93AB1" w:rsidRPr="00BC38B2" w:rsidRDefault="00F93AB1" w:rsidP="00F93AB1">
      <w:pPr>
        <w:jc w:val="both"/>
        <w:rPr>
          <w:rFonts w:ascii="Bell MT" w:hAnsi="Bell MT"/>
        </w:rPr>
      </w:pPr>
    </w:p>
    <w:p w:rsidR="00F93AB1" w:rsidRPr="00BC38B2" w:rsidRDefault="00F93AB1" w:rsidP="00F93AB1">
      <w:pPr>
        <w:jc w:val="both"/>
        <w:rPr>
          <w:rFonts w:ascii="Bell MT" w:hAnsi="Bell MT"/>
        </w:rPr>
      </w:pPr>
    </w:p>
    <w:p w:rsidR="00F93AB1" w:rsidRDefault="00F93AB1" w:rsidP="00F93AB1">
      <w:pPr>
        <w:pStyle w:val="Heading1"/>
        <w:rPr>
          <w:rFonts w:ascii="Bell MT" w:hAnsi="Bell MT"/>
          <w:u w:val="single"/>
        </w:rPr>
      </w:pPr>
    </w:p>
    <w:p w:rsidR="00F93AB1" w:rsidRDefault="00F93AB1" w:rsidP="00F93AB1">
      <w:pPr>
        <w:pStyle w:val="Heading1"/>
        <w:rPr>
          <w:rFonts w:ascii="Bell MT" w:hAnsi="Bell MT"/>
          <w:u w:val="single"/>
        </w:rPr>
      </w:pPr>
    </w:p>
    <w:p w:rsidR="00F93AB1" w:rsidRDefault="00F93AB1" w:rsidP="00F93AB1">
      <w:pPr>
        <w:pStyle w:val="Heading1"/>
        <w:rPr>
          <w:rFonts w:ascii="Bell MT" w:hAnsi="Bell MT"/>
          <w:u w:val="single"/>
        </w:rPr>
      </w:pPr>
    </w:p>
    <w:p w:rsidR="00F93AB1" w:rsidRDefault="00F93AB1" w:rsidP="00F93AB1">
      <w:pPr>
        <w:pStyle w:val="Heading1"/>
        <w:rPr>
          <w:rFonts w:ascii="Bell MT" w:hAnsi="Bell MT"/>
          <w:u w:val="single"/>
        </w:rPr>
      </w:pPr>
    </w:p>
    <w:p w:rsidR="00F93AB1" w:rsidRDefault="00F93AB1" w:rsidP="00F93AB1">
      <w:pPr>
        <w:pStyle w:val="Heading1"/>
        <w:rPr>
          <w:rFonts w:ascii="Bell MT" w:hAnsi="Bell MT"/>
          <w:u w:val="single"/>
        </w:rPr>
      </w:pPr>
    </w:p>
    <w:p w:rsidR="00F93AB1" w:rsidRDefault="00F93AB1" w:rsidP="00F93AB1">
      <w:pPr>
        <w:pStyle w:val="Heading1"/>
        <w:rPr>
          <w:rFonts w:ascii="Bell MT" w:hAnsi="Bell MT"/>
          <w:u w:val="single"/>
        </w:rPr>
      </w:pPr>
    </w:p>
    <w:p w:rsidR="00F93AB1" w:rsidRDefault="00F93AB1" w:rsidP="00F93AB1">
      <w:pPr>
        <w:pStyle w:val="Heading1"/>
        <w:rPr>
          <w:rFonts w:ascii="Bell MT" w:hAnsi="Bell MT"/>
          <w:u w:val="single"/>
        </w:rPr>
      </w:pPr>
    </w:p>
    <w:p w:rsidR="00F93AB1" w:rsidRDefault="00F93AB1" w:rsidP="00F93AB1">
      <w:pPr>
        <w:pStyle w:val="Heading1"/>
        <w:rPr>
          <w:rFonts w:ascii="Bell MT" w:hAnsi="Bell MT"/>
          <w:u w:val="single"/>
        </w:rPr>
      </w:pPr>
    </w:p>
    <w:p w:rsidR="00F93AB1" w:rsidRDefault="00F93AB1" w:rsidP="00F93AB1">
      <w:pPr>
        <w:pStyle w:val="Heading1"/>
        <w:rPr>
          <w:rFonts w:ascii="Bell MT" w:hAnsi="Bell MT"/>
          <w:u w:val="single"/>
        </w:rPr>
      </w:pPr>
    </w:p>
    <w:p w:rsidR="00F93AB1" w:rsidRPr="00807C0B" w:rsidRDefault="00F93AB1" w:rsidP="00F93AB1"/>
    <w:p w:rsidR="00F93AB1" w:rsidRDefault="00F93AB1" w:rsidP="00F93AB1">
      <w:pPr>
        <w:spacing w:after="120"/>
        <w:jc w:val="both"/>
        <w:rPr>
          <w:noProof/>
        </w:rPr>
      </w:pPr>
    </w:p>
    <w:p w:rsidR="00F93AB1" w:rsidRDefault="00F93AB1" w:rsidP="00F93AB1">
      <w:pPr>
        <w:pStyle w:val="Heading1"/>
        <w:rPr>
          <w:rFonts w:ascii="Cambria" w:hAnsi="Cambria"/>
          <w:u w:val="single"/>
        </w:rPr>
      </w:pPr>
      <w:r w:rsidRPr="002B1074">
        <w:rPr>
          <w:noProof/>
        </w:rPr>
        <w:t xml:space="preserve"> </w:t>
      </w:r>
      <w:r w:rsidRPr="000F4411">
        <w:rPr>
          <w:rFonts w:ascii="Cambria" w:hAnsi="Cambria"/>
          <w:u w:val="single"/>
        </w:rPr>
        <w:t>Évolutions des in</w:t>
      </w:r>
      <w:r w:rsidR="000F4411">
        <w:rPr>
          <w:rFonts w:ascii="Cambria" w:hAnsi="Cambria"/>
          <w:u w:val="single"/>
        </w:rPr>
        <w:t>dicateurs des SNF de 2000</w:t>
      </w:r>
      <w:r w:rsidRPr="000F4411">
        <w:rPr>
          <w:rFonts w:ascii="Cambria" w:hAnsi="Cambria"/>
          <w:u w:val="single"/>
        </w:rPr>
        <w:t xml:space="preserve"> </w:t>
      </w:r>
      <w:r w:rsidR="000F4411">
        <w:rPr>
          <w:rFonts w:ascii="Cambria" w:hAnsi="Cambria"/>
          <w:u w:val="single"/>
        </w:rPr>
        <w:t>à 2010</w:t>
      </w:r>
    </w:p>
    <w:p w:rsidR="00357F4C" w:rsidRPr="00357F4C" w:rsidRDefault="00357F4C" w:rsidP="00357F4C"/>
    <w:p w:rsidR="00357F4C" w:rsidRPr="002B314E" w:rsidRDefault="00357F4C" w:rsidP="00357F4C">
      <w:pPr>
        <w:spacing w:after="120"/>
        <w:jc w:val="center"/>
        <w:rPr>
          <w:i/>
          <w:noProof/>
        </w:rPr>
      </w:pPr>
      <w:r w:rsidRPr="002B314E">
        <w:rPr>
          <w:i/>
          <w:noProof/>
          <w:lang w:val="en-US" w:eastAsia="en-US"/>
        </w:rPr>
        <w:drawing>
          <wp:inline distT="0" distB="0" distL="0" distR="0">
            <wp:extent cx="2945353" cy="2280285"/>
            <wp:effectExtent l="19050" t="0" r="26447" b="5715"/>
            <wp:docPr id="42"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B314E">
        <w:rPr>
          <w:i/>
          <w:noProof/>
          <w:lang w:val="en-US" w:eastAsia="en-US"/>
        </w:rPr>
        <w:drawing>
          <wp:inline distT="0" distB="0" distL="0" distR="0">
            <wp:extent cx="3018997" cy="2286000"/>
            <wp:effectExtent l="19050" t="0" r="9953" b="0"/>
            <wp:docPr id="43"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7F4C" w:rsidRDefault="00357F4C" w:rsidP="00357F4C">
      <w:pPr>
        <w:keepNext/>
        <w:spacing w:after="120"/>
        <w:jc w:val="center"/>
        <w:rPr>
          <w:noProof/>
        </w:rPr>
      </w:pPr>
      <w:r w:rsidRPr="000F4411">
        <w:rPr>
          <w:noProof/>
          <w:lang w:val="en-US" w:eastAsia="en-US"/>
        </w:rPr>
        <w:drawing>
          <wp:inline distT="0" distB="0" distL="0" distR="0">
            <wp:extent cx="3022969" cy="2743200"/>
            <wp:effectExtent l="19050" t="0" r="25031" b="0"/>
            <wp:docPr id="44"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71B5F">
        <w:rPr>
          <w:noProof/>
          <w:lang w:val="en-US" w:eastAsia="en-US"/>
        </w:rPr>
        <w:drawing>
          <wp:inline distT="0" distB="0" distL="0" distR="0">
            <wp:extent cx="2942354" cy="2743200"/>
            <wp:effectExtent l="19050" t="0" r="10396" b="0"/>
            <wp:docPr id="45"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57F4C" w:rsidRDefault="00357F4C" w:rsidP="00357F4C">
      <w:pPr>
        <w:keepNext/>
        <w:spacing w:after="120"/>
        <w:ind w:left="-142"/>
        <w:jc w:val="center"/>
        <w:rPr>
          <w:noProof/>
        </w:rPr>
      </w:pPr>
      <w:r w:rsidRPr="00F71B5F">
        <w:rPr>
          <w:noProof/>
          <w:lang w:val="en-US" w:eastAsia="en-US"/>
        </w:rPr>
        <w:drawing>
          <wp:inline distT="0" distB="0" distL="0" distR="0">
            <wp:extent cx="2975832" cy="2743200"/>
            <wp:effectExtent l="19050" t="0" r="15018" b="0"/>
            <wp:docPr id="46"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0" w:name="_GoBack"/>
      <w:r w:rsidR="00FD06CD" w:rsidRPr="002B314E">
        <w:rPr>
          <w:noProof/>
          <w:lang w:val="en-US" w:eastAsia="en-US"/>
        </w:rPr>
        <w:drawing>
          <wp:inline distT="0" distB="0" distL="0" distR="0">
            <wp:extent cx="2859206" cy="3132161"/>
            <wp:effectExtent l="0" t="0" r="0" b="0"/>
            <wp:docPr id="37"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0"/>
    </w:p>
    <w:p w:rsidR="000F4411" w:rsidRPr="000F4411" w:rsidRDefault="000F4411" w:rsidP="000F4411"/>
    <w:p w:rsidR="000F4411" w:rsidRDefault="000F4411" w:rsidP="000F4411">
      <w:pPr>
        <w:keepNext/>
        <w:spacing w:after="120"/>
        <w:jc w:val="right"/>
        <w:rPr>
          <w:noProof/>
        </w:rPr>
      </w:pPr>
    </w:p>
    <w:p w:rsidR="000F4411" w:rsidRDefault="002B314E" w:rsidP="00327E07">
      <w:pPr>
        <w:keepNext/>
        <w:spacing w:after="120"/>
        <w:jc w:val="center"/>
        <w:rPr>
          <w:noProof/>
        </w:rPr>
      </w:pPr>
      <w:r w:rsidRPr="002B314E">
        <w:rPr>
          <w:noProof/>
          <w:lang w:val="en-US" w:eastAsia="en-US"/>
        </w:rPr>
        <w:drawing>
          <wp:inline distT="0" distB="0" distL="0" distR="0">
            <wp:extent cx="2942664" cy="2734945"/>
            <wp:effectExtent l="19050" t="0" r="10086" b="8255"/>
            <wp:docPr id="32"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D06CD" w:rsidRPr="000F4411">
        <w:rPr>
          <w:noProof/>
          <w:lang w:val="en-US" w:eastAsia="en-US"/>
        </w:rPr>
        <w:drawing>
          <wp:inline distT="0" distB="0" distL="0" distR="0">
            <wp:extent cx="2958539" cy="2743200"/>
            <wp:effectExtent l="19050" t="0" r="13261" b="0"/>
            <wp:docPr id="47"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80FD8" w:rsidRDefault="00580FD8" w:rsidP="00580FD8">
      <w:pPr>
        <w:keepNext/>
        <w:spacing w:after="120"/>
        <w:ind w:firstLine="567"/>
        <w:jc w:val="center"/>
        <w:rPr>
          <w:rFonts w:asciiTheme="majorHAnsi" w:hAnsiTheme="majorHAnsi"/>
          <w:noProof/>
        </w:rPr>
      </w:pPr>
      <w:r w:rsidRPr="00580FD8">
        <w:rPr>
          <w:rFonts w:asciiTheme="majorHAnsi" w:hAnsiTheme="majorHAnsi"/>
          <w:noProof/>
        </w:rPr>
        <w:t>Pour Rappel :</w:t>
      </w:r>
    </w:p>
    <w:p w:rsidR="00580FD8" w:rsidRDefault="00580FD8" w:rsidP="00580FD8">
      <w:pPr>
        <w:keepNext/>
        <w:spacing w:after="120"/>
        <w:ind w:firstLine="567"/>
        <w:jc w:val="center"/>
        <w:rPr>
          <w:rFonts w:asciiTheme="majorHAnsi" w:hAnsiTheme="majorHAnsi"/>
          <w:noProof/>
        </w:rPr>
      </w:pPr>
      <w:r w:rsidRPr="00580FD8">
        <w:rPr>
          <w:rFonts w:asciiTheme="majorHAnsi" w:hAnsiTheme="majorHAnsi"/>
          <w:noProof/>
          <w:lang w:val="en-US" w:eastAsia="en-US"/>
        </w:rPr>
        <w:drawing>
          <wp:inline distT="0" distB="0" distL="0" distR="0">
            <wp:extent cx="4125676" cy="2343955"/>
            <wp:effectExtent l="19050" t="0" r="27224"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4692E" w:rsidRPr="007420B4" w:rsidRDefault="0064692E" w:rsidP="007420B4">
      <w:pPr>
        <w:keepNext/>
        <w:spacing w:after="120"/>
        <w:ind w:firstLine="567"/>
        <w:jc w:val="both"/>
        <w:rPr>
          <w:rFonts w:asciiTheme="majorHAnsi" w:hAnsiTheme="majorHAnsi"/>
          <w:noProof/>
        </w:rPr>
      </w:pPr>
      <w:r w:rsidRPr="007420B4">
        <w:rPr>
          <w:rFonts w:asciiTheme="majorHAnsi" w:hAnsiTheme="majorHAnsi"/>
          <w:noProof/>
        </w:rPr>
        <w:t xml:space="preserve">Commentaire : </w:t>
      </w:r>
    </w:p>
    <w:p w:rsidR="000F4411" w:rsidRPr="007420B4" w:rsidRDefault="0064692E" w:rsidP="007420B4">
      <w:pPr>
        <w:keepNext/>
        <w:spacing w:after="120"/>
        <w:ind w:firstLine="567"/>
        <w:jc w:val="both"/>
        <w:rPr>
          <w:rFonts w:asciiTheme="majorHAnsi" w:hAnsiTheme="majorHAnsi"/>
          <w:noProof/>
        </w:rPr>
      </w:pPr>
      <w:r w:rsidRPr="007420B4">
        <w:rPr>
          <w:rFonts w:asciiTheme="majorHAnsi" w:hAnsiTheme="majorHAnsi"/>
          <w:noProof/>
        </w:rPr>
        <w:t xml:space="preserve">Sur l’ensemble de la période étudiée (2000-2010), </w:t>
      </w:r>
      <w:r w:rsidRPr="00432BCA">
        <w:rPr>
          <w:rFonts w:asciiTheme="majorHAnsi" w:hAnsiTheme="majorHAnsi"/>
          <w:b/>
          <w:i/>
          <w:noProof/>
        </w:rPr>
        <w:t>la vale</w:t>
      </w:r>
      <w:r w:rsidR="00432BCA" w:rsidRPr="00432BCA">
        <w:rPr>
          <w:rFonts w:asciiTheme="majorHAnsi" w:hAnsiTheme="majorHAnsi"/>
          <w:b/>
          <w:i/>
          <w:noProof/>
        </w:rPr>
        <w:t>u</w:t>
      </w:r>
      <w:r w:rsidRPr="00432BCA">
        <w:rPr>
          <w:rFonts w:asciiTheme="majorHAnsi" w:hAnsiTheme="majorHAnsi"/>
          <w:b/>
          <w:i/>
          <w:noProof/>
        </w:rPr>
        <w:t>r ajoutée des SNF représente plus de 50% du PIB de la France</w:t>
      </w:r>
      <w:r w:rsidRPr="007420B4">
        <w:rPr>
          <w:rFonts w:asciiTheme="majorHAnsi" w:hAnsiTheme="majorHAnsi"/>
          <w:noProof/>
        </w:rPr>
        <w:t xml:space="preserve"> : c’est dire l’importance de ce secteur des SNF pour l’économie française. </w:t>
      </w:r>
      <w:r w:rsidR="007420B4" w:rsidRPr="007420B4">
        <w:rPr>
          <w:rFonts w:asciiTheme="majorHAnsi" w:hAnsiTheme="majorHAnsi"/>
          <w:noProof/>
        </w:rPr>
        <w:t xml:space="preserve">Cette part a tendance à s’accroître car le champ des SNF s’élargit sous l’effet de la concentration croissante des unités de production, et de l’évolution concommittante du statut juridique d’un certain nombre d’entreprises individuelles vers le statut de société. </w:t>
      </w:r>
    </w:p>
    <w:p w:rsidR="00667E75" w:rsidRPr="00667E75" w:rsidRDefault="007420B4" w:rsidP="00667E75">
      <w:pPr>
        <w:ind w:firstLine="567"/>
        <w:jc w:val="both"/>
        <w:rPr>
          <w:rFonts w:asciiTheme="majorHAnsi" w:hAnsiTheme="majorHAnsi"/>
        </w:rPr>
      </w:pPr>
      <w:r w:rsidRPr="007420B4">
        <w:rPr>
          <w:rFonts w:asciiTheme="majorHAnsi" w:hAnsiTheme="majorHAnsi"/>
          <w:noProof/>
        </w:rPr>
        <w:t xml:space="preserve">La récession de 2009 s’est accompagnée d’une baisse sensible de cette part dans le PIB, l’activité des SNF en </w:t>
      </w:r>
      <w:r w:rsidR="00667E75">
        <w:rPr>
          <w:rFonts w:asciiTheme="majorHAnsi" w:hAnsiTheme="majorHAnsi"/>
          <w:noProof/>
        </w:rPr>
        <w:t>subissant</w:t>
      </w:r>
      <w:r w:rsidRPr="007420B4">
        <w:rPr>
          <w:rFonts w:asciiTheme="majorHAnsi" w:hAnsiTheme="majorHAnsi"/>
          <w:noProof/>
        </w:rPr>
        <w:t xml:space="preserve"> </w:t>
      </w:r>
      <w:r w:rsidR="00667E75" w:rsidRPr="007420B4">
        <w:rPr>
          <w:rFonts w:asciiTheme="majorHAnsi" w:hAnsiTheme="majorHAnsi"/>
          <w:noProof/>
        </w:rPr>
        <w:t>plus fortement</w:t>
      </w:r>
      <w:r w:rsidRPr="007420B4">
        <w:rPr>
          <w:rFonts w:asciiTheme="majorHAnsi" w:hAnsiTheme="majorHAnsi"/>
          <w:noProof/>
        </w:rPr>
        <w:t xml:space="preserve"> les effets que les autres secteurs.</w:t>
      </w:r>
      <w:r w:rsidR="00667E75">
        <w:rPr>
          <w:rFonts w:asciiTheme="majorHAnsi" w:hAnsiTheme="majorHAnsi"/>
          <w:noProof/>
        </w:rPr>
        <w:t xml:space="preserve"> </w:t>
      </w:r>
      <w:r w:rsidR="00667E75">
        <w:rPr>
          <w:rFonts w:asciiTheme="majorHAnsi" w:hAnsiTheme="majorHAnsi"/>
        </w:rPr>
        <w:t xml:space="preserve">Leur </w:t>
      </w:r>
      <w:r w:rsidR="00667E75" w:rsidRPr="00667E75">
        <w:rPr>
          <w:rFonts w:asciiTheme="majorHAnsi" w:hAnsiTheme="majorHAnsi"/>
        </w:rPr>
        <w:t xml:space="preserve">activité </w:t>
      </w:r>
      <w:r w:rsidR="00667E75">
        <w:rPr>
          <w:rFonts w:asciiTheme="majorHAnsi" w:hAnsiTheme="majorHAnsi"/>
        </w:rPr>
        <w:t>revient fin 2010</w:t>
      </w:r>
      <w:r w:rsidR="00667E75" w:rsidRPr="00667E75">
        <w:rPr>
          <w:rFonts w:asciiTheme="majorHAnsi" w:hAnsiTheme="majorHAnsi"/>
        </w:rPr>
        <w:t xml:space="preserve"> à un niveau proche de celui observé </w:t>
      </w:r>
      <w:r w:rsidR="00667E75">
        <w:rPr>
          <w:rFonts w:asciiTheme="majorHAnsi" w:hAnsiTheme="majorHAnsi"/>
        </w:rPr>
        <w:t>en 2002</w:t>
      </w:r>
      <w:r w:rsidR="00667E75" w:rsidRPr="00667E75">
        <w:rPr>
          <w:rFonts w:asciiTheme="majorHAnsi" w:hAnsiTheme="majorHAnsi"/>
        </w:rPr>
        <w:t xml:space="preserve">, et leur part </w:t>
      </w:r>
      <w:r w:rsidR="00667E75">
        <w:rPr>
          <w:rFonts w:asciiTheme="majorHAnsi" w:hAnsiTheme="majorHAnsi"/>
        </w:rPr>
        <w:t>dans le PIB total de la France atteint avec 50,3</w:t>
      </w:r>
      <w:r w:rsidR="00667E75" w:rsidRPr="00667E75">
        <w:rPr>
          <w:rFonts w:asciiTheme="majorHAnsi" w:hAnsiTheme="majorHAnsi"/>
        </w:rPr>
        <w:t xml:space="preserve">% </w:t>
      </w:r>
      <w:r w:rsidR="00667E75">
        <w:rPr>
          <w:rFonts w:asciiTheme="majorHAnsi" w:hAnsiTheme="majorHAnsi"/>
        </w:rPr>
        <w:t>un</w:t>
      </w:r>
      <w:r w:rsidR="00667E75" w:rsidRPr="00667E75">
        <w:rPr>
          <w:rFonts w:asciiTheme="majorHAnsi" w:hAnsiTheme="majorHAnsi"/>
        </w:rPr>
        <w:t xml:space="preserve"> niveau </w:t>
      </w:r>
      <w:r w:rsidR="00667E75">
        <w:rPr>
          <w:rFonts w:asciiTheme="majorHAnsi" w:hAnsiTheme="majorHAnsi"/>
        </w:rPr>
        <w:t>parmi les</w:t>
      </w:r>
      <w:r w:rsidR="00667E75" w:rsidRPr="00667E75">
        <w:rPr>
          <w:rFonts w:asciiTheme="majorHAnsi" w:hAnsiTheme="majorHAnsi"/>
        </w:rPr>
        <w:t xml:space="preserve"> plus bas de la décennie 2000.</w:t>
      </w:r>
    </w:p>
    <w:p w:rsidR="007420B4" w:rsidRPr="00E274A0" w:rsidRDefault="007420B4" w:rsidP="00327E07">
      <w:pPr>
        <w:keepNext/>
        <w:spacing w:after="120"/>
        <w:jc w:val="both"/>
        <w:rPr>
          <w:rFonts w:asciiTheme="majorHAnsi" w:hAnsiTheme="majorHAnsi"/>
          <w:noProof/>
        </w:rPr>
      </w:pPr>
    </w:p>
    <w:p w:rsidR="00B367C5" w:rsidRPr="00E274A0" w:rsidRDefault="00432BCA" w:rsidP="00B367C5">
      <w:pPr>
        <w:ind w:firstLine="567"/>
        <w:jc w:val="both"/>
        <w:rPr>
          <w:rFonts w:asciiTheme="majorHAnsi" w:hAnsiTheme="majorHAnsi"/>
          <w:noProof/>
        </w:rPr>
      </w:pPr>
      <w:r w:rsidRPr="00E274A0">
        <w:rPr>
          <w:rFonts w:asciiTheme="majorHAnsi" w:hAnsiTheme="majorHAnsi"/>
          <w:b/>
          <w:i/>
          <w:noProof/>
        </w:rPr>
        <w:t>Le taux de valeur ajoutée</w:t>
      </w:r>
      <w:r w:rsidRPr="00E274A0">
        <w:rPr>
          <w:rFonts w:asciiTheme="majorHAnsi" w:hAnsiTheme="majorHAnsi"/>
          <w:noProof/>
        </w:rPr>
        <w:t xml:space="preserve"> des SNF évolue essentiellement en fonction des variations des coûts des consommations intermédiaires</w:t>
      </w:r>
      <w:r w:rsidR="00667E75" w:rsidRPr="00E274A0">
        <w:rPr>
          <w:rFonts w:asciiTheme="majorHAnsi" w:hAnsiTheme="majorHAnsi"/>
          <w:noProof/>
        </w:rPr>
        <w:t xml:space="preserve"> : </w:t>
      </w:r>
      <w:r w:rsidRPr="00E274A0">
        <w:rPr>
          <w:rFonts w:asciiTheme="majorHAnsi" w:hAnsiTheme="majorHAnsi"/>
          <w:noProof/>
        </w:rPr>
        <w:t xml:space="preserve"> </w:t>
      </w:r>
    </w:p>
    <w:p w:rsidR="007420B4" w:rsidRPr="00E274A0" w:rsidRDefault="00B367C5" w:rsidP="00B367C5">
      <w:pPr>
        <w:ind w:firstLine="567"/>
        <w:jc w:val="both"/>
        <w:rPr>
          <w:rFonts w:asciiTheme="majorHAnsi" w:hAnsiTheme="majorHAnsi"/>
          <w:noProof/>
        </w:rPr>
      </w:pPr>
      <w:r w:rsidRPr="00E274A0">
        <w:rPr>
          <w:rFonts w:asciiTheme="majorHAnsi" w:hAnsiTheme="majorHAnsi"/>
          <w:noProof/>
        </w:rPr>
        <w:t>A partir de 2004</w:t>
      </w:r>
      <w:r w:rsidR="00E274A0">
        <w:rPr>
          <w:rFonts w:asciiTheme="majorHAnsi" w:hAnsiTheme="majorHAnsi"/>
          <w:noProof/>
        </w:rPr>
        <w:t xml:space="preserve"> et jusqu’en 2008</w:t>
      </w:r>
      <w:r w:rsidRPr="00E274A0">
        <w:rPr>
          <w:rFonts w:asciiTheme="majorHAnsi" w:hAnsiTheme="majorHAnsi"/>
          <w:noProof/>
        </w:rPr>
        <w:t xml:space="preserve">, </w:t>
      </w:r>
      <w:r w:rsidRPr="00E274A0">
        <w:rPr>
          <w:rFonts w:asciiTheme="majorHAnsi" w:hAnsiTheme="majorHAnsi"/>
        </w:rPr>
        <w:t xml:space="preserve">la baisse </w:t>
      </w:r>
      <w:r w:rsidR="00667E75" w:rsidRPr="00E274A0">
        <w:rPr>
          <w:rFonts w:asciiTheme="majorHAnsi" w:hAnsiTheme="majorHAnsi"/>
        </w:rPr>
        <w:t xml:space="preserve">de ce ratio </w:t>
      </w:r>
      <w:r w:rsidRPr="00E274A0">
        <w:rPr>
          <w:rFonts w:asciiTheme="majorHAnsi" w:hAnsiTheme="majorHAnsi"/>
        </w:rPr>
        <w:t>est d’abord liée</w:t>
      </w:r>
      <w:r w:rsidR="00667E75" w:rsidRPr="00E274A0">
        <w:rPr>
          <w:rFonts w:asciiTheme="majorHAnsi" w:hAnsiTheme="majorHAnsi"/>
        </w:rPr>
        <w:t xml:space="preserve"> à la </w:t>
      </w:r>
      <w:r w:rsidR="00667E75" w:rsidRPr="00E274A0">
        <w:rPr>
          <w:rFonts w:asciiTheme="majorHAnsi" w:hAnsiTheme="majorHAnsi"/>
          <w:b/>
          <w:i/>
        </w:rPr>
        <w:t>hausse des prix du pétrole brut</w:t>
      </w:r>
      <w:r w:rsidR="00667E75" w:rsidRPr="00E274A0">
        <w:rPr>
          <w:rFonts w:asciiTheme="majorHAnsi" w:hAnsiTheme="majorHAnsi"/>
        </w:rPr>
        <w:t xml:space="preserve"> et des matières premières</w:t>
      </w:r>
      <w:r w:rsidR="00667E75" w:rsidRPr="00E274A0">
        <w:rPr>
          <w:rStyle w:val="FootnoteReference"/>
          <w:rFonts w:asciiTheme="majorHAnsi" w:hAnsiTheme="majorHAnsi"/>
        </w:rPr>
        <w:footnoteReference w:id="2"/>
      </w:r>
      <w:r w:rsidR="00667E75" w:rsidRPr="00E274A0">
        <w:rPr>
          <w:rFonts w:asciiTheme="majorHAnsi" w:hAnsiTheme="majorHAnsi"/>
        </w:rPr>
        <w:t xml:space="preserve"> sur les marchés internationaux, qui pèse lourd dans le prix des consommations intermédiaires</w:t>
      </w:r>
      <w:r w:rsidR="00667E75" w:rsidRPr="00E274A0">
        <w:rPr>
          <w:rStyle w:val="FootnoteReference"/>
          <w:rFonts w:asciiTheme="majorHAnsi" w:hAnsiTheme="majorHAnsi"/>
        </w:rPr>
        <w:footnoteReference w:id="3"/>
      </w:r>
      <w:r w:rsidR="00667E75" w:rsidRPr="00E274A0">
        <w:rPr>
          <w:rFonts w:asciiTheme="majorHAnsi" w:hAnsiTheme="majorHAnsi"/>
        </w:rPr>
        <w:t xml:space="preserve">. </w:t>
      </w:r>
    </w:p>
    <w:p w:rsidR="00B367C5" w:rsidRPr="00E274A0" w:rsidRDefault="00B367C5" w:rsidP="00B367C5">
      <w:pPr>
        <w:pStyle w:val="ListParagraph"/>
        <w:ind w:left="0" w:firstLine="567"/>
        <w:jc w:val="both"/>
        <w:rPr>
          <w:rFonts w:asciiTheme="majorHAnsi" w:hAnsiTheme="majorHAnsi"/>
        </w:rPr>
      </w:pPr>
      <w:r w:rsidRPr="00E274A0">
        <w:rPr>
          <w:rFonts w:asciiTheme="majorHAnsi" w:hAnsiTheme="majorHAnsi"/>
        </w:rPr>
        <w:t>Cette évolution résulte de la conjonction de plusieurs facteurs</w:t>
      </w:r>
      <w:r w:rsidR="00E274A0">
        <w:rPr>
          <w:rFonts w:asciiTheme="majorHAnsi" w:hAnsiTheme="majorHAnsi"/>
        </w:rPr>
        <w:t> ; les deux premiers sont</w:t>
      </w:r>
      <w:r w:rsidRPr="00E274A0">
        <w:rPr>
          <w:rFonts w:asciiTheme="majorHAnsi" w:hAnsiTheme="majorHAnsi"/>
        </w:rPr>
        <w:t xml:space="preserve"> structurels</w:t>
      </w:r>
      <w:r w:rsidR="00E274A0">
        <w:rPr>
          <w:rFonts w:asciiTheme="majorHAnsi" w:hAnsiTheme="majorHAnsi"/>
        </w:rPr>
        <w:t>, les suivants d’ordre plutôt conjoncturel</w:t>
      </w:r>
      <w:r w:rsidRPr="00E274A0">
        <w:rPr>
          <w:rFonts w:asciiTheme="majorHAnsi" w:hAnsiTheme="majorHAnsi"/>
        </w:rPr>
        <w:t> :</w:t>
      </w:r>
    </w:p>
    <w:p w:rsidR="00B367C5" w:rsidRPr="00E274A0" w:rsidRDefault="00B367C5" w:rsidP="00B367C5">
      <w:pPr>
        <w:numPr>
          <w:ilvl w:val="0"/>
          <w:numId w:val="20"/>
        </w:numPr>
        <w:jc w:val="both"/>
        <w:rPr>
          <w:rFonts w:asciiTheme="majorHAnsi" w:hAnsiTheme="majorHAnsi"/>
        </w:rPr>
      </w:pPr>
      <w:r w:rsidRPr="00E274A0">
        <w:rPr>
          <w:rFonts w:asciiTheme="majorHAnsi" w:hAnsiTheme="majorHAnsi"/>
          <w:b/>
          <w:i/>
        </w:rPr>
        <w:t>L’augmentation du prix d’extraction d’une unité supplémentaire de pétrole</w:t>
      </w:r>
      <w:r w:rsidRPr="00E274A0">
        <w:rPr>
          <w:rFonts w:asciiTheme="majorHAnsi" w:hAnsiTheme="majorHAnsi"/>
        </w:rPr>
        <w:t>, passé de 15$ en 2000 à 30$ en 2008 : en effet, pour approvisionner une demande plus forte, il faut mettre en service des gisements plus coûteux à exploiter, exploitation que la hausse des prix rend plus rentable.</w:t>
      </w:r>
    </w:p>
    <w:p w:rsidR="00B367C5" w:rsidRPr="00E274A0" w:rsidRDefault="00B367C5" w:rsidP="00B367C5">
      <w:pPr>
        <w:numPr>
          <w:ilvl w:val="0"/>
          <w:numId w:val="20"/>
        </w:numPr>
        <w:jc w:val="both"/>
        <w:rPr>
          <w:rFonts w:asciiTheme="majorHAnsi" w:hAnsiTheme="majorHAnsi"/>
        </w:rPr>
      </w:pPr>
      <w:r w:rsidRPr="00E274A0">
        <w:rPr>
          <w:rFonts w:asciiTheme="majorHAnsi" w:hAnsiTheme="majorHAnsi"/>
          <w:b/>
          <w:i/>
        </w:rPr>
        <w:t>L’existence d’une « rente de rareté »</w:t>
      </w:r>
      <w:r w:rsidRPr="00E274A0">
        <w:rPr>
          <w:rFonts w:asciiTheme="majorHAnsi" w:hAnsiTheme="majorHAnsi"/>
        </w:rPr>
        <w:t xml:space="preserve"> liée à l’épuisement prévisible des ressources, rente destinée à encourager les producteurs à mettre leur pétrole sur le marché plutôt que d’en retarder l’extraction.</w:t>
      </w:r>
    </w:p>
    <w:p w:rsidR="00B367C5" w:rsidRPr="00E274A0" w:rsidRDefault="00B367C5" w:rsidP="00B367C5">
      <w:pPr>
        <w:pStyle w:val="ListParagraph"/>
        <w:numPr>
          <w:ilvl w:val="0"/>
          <w:numId w:val="20"/>
        </w:numPr>
        <w:jc w:val="both"/>
        <w:rPr>
          <w:rFonts w:asciiTheme="majorHAnsi" w:hAnsiTheme="majorHAnsi"/>
        </w:rPr>
      </w:pPr>
      <w:r w:rsidRPr="00E274A0">
        <w:rPr>
          <w:rFonts w:asciiTheme="majorHAnsi" w:hAnsiTheme="majorHAnsi"/>
          <w:b/>
          <w:i/>
        </w:rPr>
        <w:t>Une mauvaise anticipation de la croissance mondiale</w:t>
      </w:r>
      <w:r w:rsidRPr="00E274A0">
        <w:rPr>
          <w:rFonts w:asciiTheme="majorHAnsi" w:hAnsiTheme="majorHAnsi"/>
        </w:rPr>
        <w:t xml:space="preserve"> par les producteurs de pétrole, qui a entraîné une insuffisance de l’offre face à la demande, en particulier des pays émergents, et en conséquence une hausse des prix</w:t>
      </w:r>
      <w:r w:rsidR="00E274A0">
        <w:rPr>
          <w:rFonts w:asciiTheme="majorHAnsi" w:hAnsiTheme="majorHAnsi"/>
        </w:rPr>
        <w:t>.</w:t>
      </w:r>
    </w:p>
    <w:p w:rsidR="00B367C5" w:rsidRPr="00E274A0" w:rsidRDefault="00432BCA" w:rsidP="00E274A0">
      <w:pPr>
        <w:numPr>
          <w:ilvl w:val="0"/>
          <w:numId w:val="13"/>
        </w:numPr>
        <w:tabs>
          <w:tab w:val="num" w:pos="284"/>
        </w:tabs>
        <w:ind w:left="284" w:hanging="284"/>
        <w:jc w:val="both"/>
        <w:rPr>
          <w:rFonts w:asciiTheme="majorHAnsi" w:hAnsiTheme="majorHAnsi"/>
        </w:rPr>
      </w:pPr>
      <w:r w:rsidRPr="00E274A0">
        <w:rPr>
          <w:rFonts w:asciiTheme="majorHAnsi" w:hAnsiTheme="majorHAnsi"/>
          <w:noProof/>
        </w:rPr>
        <w:t xml:space="preserve">Au plus fort de la </w:t>
      </w:r>
      <w:r w:rsidRPr="00E274A0">
        <w:rPr>
          <w:rFonts w:asciiTheme="majorHAnsi" w:hAnsiTheme="majorHAnsi"/>
          <w:b/>
          <w:i/>
          <w:noProof/>
        </w:rPr>
        <w:t>crise financière</w:t>
      </w:r>
      <w:r w:rsidRPr="00E274A0">
        <w:rPr>
          <w:rFonts w:asciiTheme="majorHAnsi" w:hAnsiTheme="majorHAnsi"/>
          <w:noProof/>
        </w:rPr>
        <w:t xml:space="preserve"> de 2007-2008, on a assisté à une envolée des cours des matières premières, </w:t>
      </w:r>
      <w:r w:rsidR="00B367C5" w:rsidRPr="00E274A0">
        <w:rPr>
          <w:rFonts w:asciiTheme="majorHAnsi" w:hAnsiTheme="majorHAnsi"/>
          <w:noProof/>
        </w:rPr>
        <w:t xml:space="preserve">due au comportement des spéculateurs : </w:t>
      </w:r>
      <w:r w:rsidR="00B367C5" w:rsidRPr="00E274A0">
        <w:rPr>
          <w:rFonts w:asciiTheme="majorHAnsi" w:hAnsiTheme="majorHAnsi"/>
        </w:rPr>
        <w:t>devant l’effondrement des valeurs liées à l’immobilier, ils se sont retournés vers les marchés des matières premières, où les espéranc</w:t>
      </w:r>
      <w:r w:rsidR="00E274A0" w:rsidRPr="00E274A0">
        <w:rPr>
          <w:rFonts w:asciiTheme="majorHAnsi" w:hAnsiTheme="majorHAnsi"/>
        </w:rPr>
        <w:t>es de gains étaient plus fortes, ce qui en a encore accentué la hausse des prix</w:t>
      </w:r>
      <w:r w:rsidR="00E274A0">
        <w:rPr>
          <w:rFonts w:asciiTheme="majorHAnsi" w:hAnsiTheme="majorHAnsi"/>
        </w:rPr>
        <w:t>.</w:t>
      </w:r>
    </w:p>
    <w:p w:rsidR="00E274A0" w:rsidRPr="00E274A0" w:rsidRDefault="00E274A0" w:rsidP="00E274A0">
      <w:pPr>
        <w:numPr>
          <w:ilvl w:val="0"/>
          <w:numId w:val="13"/>
        </w:numPr>
        <w:tabs>
          <w:tab w:val="num" w:pos="284"/>
        </w:tabs>
        <w:ind w:left="284" w:hanging="284"/>
        <w:jc w:val="both"/>
        <w:rPr>
          <w:rFonts w:asciiTheme="majorHAnsi" w:hAnsiTheme="majorHAnsi"/>
        </w:rPr>
      </w:pPr>
      <w:r w:rsidRPr="00E274A0">
        <w:rPr>
          <w:rFonts w:asciiTheme="majorHAnsi" w:hAnsiTheme="majorHAnsi"/>
          <w:noProof/>
        </w:rPr>
        <w:t xml:space="preserve">Par ailleurs, la </w:t>
      </w:r>
      <w:r w:rsidRPr="00E274A0">
        <w:rPr>
          <w:rFonts w:asciiTheme="majorHAnsi" w:hAnsiTheme="majorHAnsi"/>
          <w:b/>
          <w:i/>
          <w:noProof/>
        </w:rPr>
        <w:t>dépréciation du dollar par rapport à l’euro</w:t>
      </w:r>
      <w:r w:rsidRPr="00E274A0">
        <w:rPr>
          <w:rFonts w:asciiTheme="majorHAnsi" w:hAnsiTheme="majorHAnsi"/>
          <w:noProof/>
        </w:rPr>
        <w:t xml:space="preserve"> a incité des producteurs de matières premières à réduire leur offre pour augmenter leurs prix, afin de maintenir leur pouvoir d’achat en dollar.</w:t>
      </w:r>
    </w:p>
    <w:p w:rsidR="00E274A0" w:rsidRPr="00E274A0" w:rsidRDefault="00E274A0" w:rsidP="00E274A0">
      <w:pPr>
        <w:numPr>
          <w:ilvl w:val="0"/>
          <w:numId w:val="13"/>
        </w:numPr>
        <w:tabs>
          <w:tab w:val="num" w:pos="357"/>
        </w:tabs>
        <w:ind w:left="357" w:hanging="284"/>
        <w:jc w:val="both"/>
        <w:rPr>
          <w:rFonts w:asciiTheme="majorHAnsi" w:hAnsiTheme="majorHAnsi"/>
        </w:rPr>
      </w:pPr>
      <w:r w:rsidRPr="00E274A0">
        <w:rPr>
          <w:rFonts w:asciiTheme="majorHAnsi" w:hAnsiTheme="majorHAnsi"/>
          <w:noProof/>
        </w:rPr>
        <w:t xml:space="preserve">Cette dépréciation du dollar a accru la demande en matières premières des pays dont la monnaie prenait de la valeur par rapport au dollar (la facture pétrolière pesant alors moins lourd), et simultanément celle des pays comme la Chine qui maintient de fait </w:t>
      </w:r>
      <w:r w:rsidRPr="00E274A0">
        <w:rPr>
          <w:rFonts w:asciiTheme="majorHAnsi" w:hAnsiTheme="majorHAnsi"/>
        </w:rPr>
        <w:t>un taux de change fixe de sa monnaie avec le dollar : la dépréciation de ce dernier favorise ses exportations, renforce son activité et en conséquence sa demande d’énergie</w:t>
      </w:r>
      <w:r w:rsidR="00C57B76">
        <w:rPr>
          <w:rFonts w:asciiTheme="majorHAnsi" w:hAnsiTheme="majorHAnsi"/>
        </w:rPr>
        <w:t>.</w:t>
      </w:r>
    </w:p>
    <w:p w:rsidR="00C57B76" w:rsidRDefault="00C57B76" w:rsidP="00667E75">
      <w:pPr>
        <w:ind w:firstLine="567"/>
        <w:jc w:val="both"/>
        <w:rPr>
          <w:rFonts w:asciiTheme="majorHAnsi" w:hAnsiTheme="majorHAnsi"/>
          <w:color w:val="FF0000"/>
          <w:u w:val="single"/>
        </w:rPr>
      </w:pPr>
    </w:p>
    <w:p w:rsidR="00667E75" w:rsidRPr="00C57B76" w:rsidRDefault="00667E75" w:rsidP="00C57B76">
      <w:pPr>
        <w:ind w:firstLine="567"/>
        <w:jc w:val="both"/>
        <w:rPr>
          <w:rFonts w:asciiTheme="majorHAnsi" w:hAnsiTheme="majorHAnsi"/>
        </w:rPr>
      </w:pPr>
      <w:r w:rsidRPr="00C57B76">
        <w:rPr>
          <w:rFonts w:asciiTheme="majorHAnsi" w:hAnsiTheme="majorHAnsi"/>
        </w:rPr>
        <w:t>A partir d’août 2008, la crise économique a induit une baisse de la demande anticipée qui a amorcé la chute les prix que l’on a observé par la suite.</w:t>
      </w:r>
      <w:r w:rsidR="00C57B76" w:rsidRPr="00C57B76">
        <w:rPr>
          <w:rFonts w:asciiTheme="majorHAnsi" w:hAnsiTheme="majorHAnsi"/>
        </w:rPr>
        <w:t xml:space="preserve"> </w:t>
      </w:r>
      <w:r w:rsidRPr="00C57B76">
        <w:rPr>
          <w:rFonts w:asciiTheme="majorHAnsi" w:hAnsiTheme="majorHAnsi"/>
        </w:rPr>
        <w:t>Le prix du baril de pétrole chute fortement, pour</w:t>
      </w:r>
      <w:r w:rsidR="00C57B76" w:rsidRPr="00C57B76">
        <w:rPr>
          <w:rFonts w:asciiTheme="majorHAnsi" w:hAnsiTheme="majorHAnsi"/>
        </w:rPr>
        <w:t xml:space="preserve"> augmenter</w:t>
      </w:r>
      <w:r w:rsidRPr="00C57B76">
        <w:rPr>
          <w:rFonts w:asciiTheme="majorHAnsi" w:hAnsiTheme="majorHAnsi"/>
        </w:rPr>
        <w:t xml:space="preserve"> de nouveau par la suite lorsque </w:t>
      </w:r>
      <w:r w:rsidR="00C57B76" w:rsidRPr="00C57B76">
        <w:rPr>
          <w:rFonts w:asciiTheme="majorHAnsi" w:hAnsiTheme="majorHAnsi"/>
        </w:rPr>
        <w:t>la demande des pays émergents, puis celle des pays occidentaux, se redressent.</w:t>
      </w:r>
    </w:p>
    <w:p w:rsidR="00C57B76" w:rsidRDefault="00C57B76" w:rsidP="00C57B76">
      <w:pPr>
        <w:ind w:firstLine="567"/>
        <w:jc w:val="both"/>
        <w:rPr>
          <w:rFonts w:asciiTheme="majorHAnsi" w:hAnsiTheme="majorHAnsi"/>
        </w:rPr>
      </w:pPr>
      <w:r w:rsidRPr="00C57B76">
        <w:rPr>
          <w:rFonts w:asciiTheme="majorHAnsi" w:hAnsiTheme="majorHAnsi"/>
        </w:rPr>
        <w:t xml:space="preserve">Cependant, </w:t>
      </w:r>
      <w:r w:rsidRPr="00C57B76">
        <w:rPr>
          <w:rFonts w:asciiTheme="majorHAnsi" w:hAnsiTheme="majorHAnsi"/>
          <w:b/>
          <w:i/>
        </w:rPr>
        <w:t xml:space="preserve">la forte contraction de l’activité observée en 2009 (année de récession), a amené les entreprises à revoir les prix des biens intermédiaires à la baisse, alors même que les coûts salariaux mettent plus de temps à s’ajuster : en </w:t>
      </w:r>
      <w:r w:rsidRPr="00C57B76">
        <w:rPr>
          <w:rFonts w:asciiTheme="majorHAnsi" w:hAnsiTheme="majorHAnsi"/>
        </w:rPr>
        <w:t>conséquence, le taux de valeur ajoutée remonte mécaniquement pour atteindre 41,2% en 2009, et reste à un niveau relativement élevé pour la décennie en 2010 : 40,4%.</w:t>
      </w:r>
    </w:p>
    <w:p w:rsidR="002D64DE" w:rsidRDefault="002D64DE" w:rsidP="00C57B76">
      <w:pPr>
        <w:ind w:firstLine="567"/>
        <w:jc w:val="both"/>
        <w:rPr>
          <w:rFonts w:asciiTheme="majorHAnsi" w:hAnsiTheme="majorHAnsi"/>
        </w:rPr>
      </w:pPr>
    </w:p>
    <w:p w:rsidR="00BF5711" w:rsidRPr="00C57B76" w:rsidRDefault="00BF5711" w:rsidP="00C57B76">
      <w:pPr>
        <w:ind w:firstLine="567"/>
        <w:jc w:val="both"/>
        <w:rPr>
          <w:rFonts w:asciiTheme="majorHAnsi" w:hAnsiTheme="majorHAnsi"/>
        </w:rPr>
      </w:pPr>
    </w:p>
    <w:p w:rsidR="002D64DE" w:rsidRDefault="00667E75" w:rsidP="002D64DE">
      <w:pPr>
        <w:ind w:firstLine="567"/>
        <w:jc w:val="both"/>
        <w:rPr>
          <w:rFonts w:asciiTheme="majorHAnsi" w:hAnsiTheme="majorHAnsi"/>
          <w:noProof/>
        </w:rPr>
      </w:pPr>
      <w:r w:rsidRPr="00667E75">
        <w:rPr>
          <w:rFonts w:asciiTheme="majorHAnsi" w:hAnsiTheme="majorHAnsi"/>
          <w:color w:val="FF0000"/>
        </w:rPr>
        <w:t xml:space="preserve"> </w:t>
      </w:r>
      <w:r w:rsidR="00B202CD">
        <w:rPr>
          <w:rFonts w:asciiTheme="majorHAnsi" w:hAnsiTheme="majorHAnsi"/>
          <w:noProof/>
        </w:rPr>
        <w:t xml:space="preserve">La superposition des graphiques représentant </w:t>
      </w:r>
      <w:r w:rsidR="00B202CD" w:rsidRPr="00B202CD">
        <w:rPr>
          <w:rFonts w:asciiTheme="majorHAnsi" w:hAnsiTheme="majorHAnsi"/>
          <w:b/>
          <w:i/>
          <w:noProof/>
        </w:rPr>
        <w:t>le taux de marge et le poids des rémunérations salariales dans la valeur ajoutée des SNF</w:t>
      </w:r>
      <w:r w:rsidR="00B202CD">
        <w:rPr>
          <w:rFonts w:asciiTheme="majorHAnsi" w:hAnsiTheme="majorHAnsi"/>
          <w:noProof/>
        </w:rPr>
        <w:t xml:space="preserve"> montre la parfaite symétrie de l’évolution de ces deux ratios. Quand l’un augmente, l’autre baisse et réciproquement.</w:t>
      </w:r>
    </w:p>
    <w:p w:rsidR="002D64DE" w:rsidRDefault="002D64DE" w:rsidP="002D64DE">
      <w:pPr>
        <w:ind w:firstLine="567"/>
        <w:jc w:val="both"/>
        <w:rPr>
          <w:rFonts w:asciiTheme="majorHAnsi" w:hAnsiTheme="majorHAnsi"/>
          <w:noProof/>
        </w:rPr>
      </w:pPr>
      <w:r w:rsidRPr="00BF5711">
        <w:rPr>
          <w:rFonts w:asciiTheme="majorHAnsi" w:hAnsiTheme="majorHAnsi"/>
          <w:i/>
          <w:noProof/>
        </w:rPr>
        <w:t xml:space="preserve"> </w:t>
      </w:r>
      <w:r w:rsidR="00B202CD" w:rsidRPr="00BF5711">
        <w:rPr>
          <w:rFonts w:asciiTheme="majorHAnsi" w:hAnsiTheme="majorHAnsi"/>
          <w:i/>
          <w:noProof/>
        </w:rPr>
        <w:t>En période d’accélération de la croissance</w:t>
      </w:r>
      <w:r w:rsidR="00B202CD">
        <w:rPr>
          <w:rFonts w:asciiTheme="majorHAnsi" w:hAnsiTheme="majorHAnsi"/>
          <w:noProof/>
        </w:rPr>
        <w:t>, le dynamisme de la demande entraîne un accroissement de la production des entreprises, en même temps qu’ une tendance à la hausse des prix de vente de cette production : les coûts salariaux ne s’ajustant qu’avec retard (les entreprises ne procèdent pas immédiatement à des embauches, attendant que la croissance de la demande se confirme à moyen terme</w:t>
      </w:r>
      <w:r w:rsidR="00601EF5">
        <w:rPr>
          <w:rFonts w:asciiTheme="majorHAnsi" w:hAnsiTheme="majorHAnsi"/>
          <w:noProof/>
        </w:rPr>
        <w:t>, et ne font bénéficier les salariés des « fruits de la croissance » qu’avec un décalage souvent supérieur à un an), le taux de marge des entreprises s’élève mécaniquement</w:t>
      </w:r>
      <w:r w:rsidR="00BF5711">
        <w:rPr>
          <w:rFonts w:asciiTheme="majorHAnsi" w:hAnsiTheme="majorHAnsi"/>
          <w:noProof/>
        </w:rPr>
        <w:t xml:space="preserve">, </w:t>
      </w:r>
      <w:r w:rsidR="00601EF5">
        <w:rPr>
          <w:rFonts w:asciiTheme="majorHAnsi" w:hAnsiTheme="majorHAnsi"/>
          <w:noProof/>
        </w:rPr>
        <w:t>le poids des rémunérations dans la valeur ajoutée diminue</w:t>
      </w:r>
      <w:r w:rsidR="00BF5711">
        <w:rPr>
          <w:rFonts w:asciiTheme="majorHAnsi" w:hAnsiTheme="majorHAnsi"/>
          <w:noProof/>
        </w:rPr>
        <w:t xml:space="preserve"> (période 2004-2007)</w:t>
      </w:r>
      <w:r w:rsidR="00601EF5">
        <w:rPr>
          <w:rFonts w:asciiTheme="majorHAnsi" w:hAnsiTheme="majorHAnsi"/>
          <w:noProof/>
        </w:rPr>
        <w:t>.</w:t>
      </w:r>
    </w:p>
    <w:p w:rsidR="00601EF5" w:rsidRDefault="002D64DE" w:rsidP="002D64DE">
      <w:pPr>
        <w:ind w:firstLine="567"/>
        <w:jc w:val="both"/>
        <w:rPr>
          <w:rFonts w:asciiTheme="majorHAnsi" w:hAnsiTheme="majorHAnsi"/>
          <w:noProof/>
        </w:rPr>
      </w:pPr>
      <w:r w:rsidRPr="00BF5711">
        <w:rPr>
          <w:rFonts w:asciiTheme="majorHAnsi" w:hAnsiTheme="majorHAnsi"/>
          <w:i/>
          <w:noProof/>
        </w:rPr>
        <w:t xml:space="preserve"> </w:t>
      </w:r>
      <w:r w:rsidR="00601EF5" w:rsidRPr="00BF5711">
        <w:rPr>
          <w:rFonts w:asciiTheme="majorHAnsi" w:hAnsiTheme="majorHAnsi"/>
          <w:i/>
          <w:noProof/>
        </w:rPr>
        <w:t>En cas de ralentissement de la croissance</w:t>
      </w:r>
      <w:r w:rsidR="00601EF5">
        <w:rPr>
          <w:rFonts w:asciiTheme="majorHAnsi" w:hAnsiTheme="majorHAnsi"/>
          <w:noProof/>
        </w:rPr>
        <w:t xml:space="preserve"> </w:t>
      </w:r>
      <w:r w:rsidR="00BF5711">
        <w:rPr>
          <w:rFonts w:asciiTheme="majorHAnsi" w:hAnsiTheme="majorHAnsi"/>
          <w:noProof/>
        </w:rPr>
        <w:t xml:space="preserve">au contraire, </w:t>
      </w:r>
      <w:r w:rsidR="00601EF5">
        <w:rPr>
          <w:rFonts w:asciiTheme="majorHAnsi" w:hAnsiTheme="majorHAnsi"/>
          <w:noProof/>
        </w:rPr>
        <w:t xml:space="preserve">les entreprises ajustent rapidement leur production à la baisse, </w:t>
      </w:r>
      <w:r w:rsidR="00BF5711">
        <w:rPr>
          <w:rFonts w:asciiTheme="majorHAnsi" w:hAnsiTheme="majorHAnsi"/>
          <w:noProof/>
        </w:rPr>
        <w:t xml:space="preserve">et </w:t>
      </w:r>
      <w:r w:rsidR="00601EF5">
        <w:rPr>
          <w:rFonts w:asciiTheme="majorHAnsi" w:hAnsiTheme="majorHAnsi"/>
          <w:noProof/>
        </w:rPr>
        <w:t>la faiblesse de la demande tend à faire baisser les prix de vente. Les entreprises mettent cependant plus de temps à ajuster leurs effectifs et leurs coûts salariaux.  Cela provoque une baisse mécanique du taux de marge</w:t>
      </w:r>
      <w:r w:rsidR="00BF5711">
        <w:rPr>
          <w:rFonts w:asciiTheme="majorHAnsi" w:hAnsiTheme="majorHAnsi"/>
          <w:noProof/>
        </w:rPr>
        <w:t xml:space="preserve"> des SNF, en même temps qu’une augmentation du poids des rémunérations dans la valeur ajoutée (période 2008-2009).</w:t>
      </w:r>
      <w:r w:rsidR="00601EF5">
        <w:rPr>
          <w:rFonts w:asciiTheme="majorHAnsi" w:hAnsiTheme="majorHAnsi"/>
          <w:noProof/>
        </w:rPr>
        <w:t xml:space="preserve"> </w:t>
      </w:r>
    </w:p>
    <w:p w:rsidR="006B4E8D" w:rsidRDefault="006B4E8D" w:rsidP="002D64DE">
      <w:pPr>
        <w:ind w:firstLine="567"/>
        <w:jc w:val="both"/>
        <w:rPr>
          <w:rFonts w:asciiTheme="majorHAnsi" w:hAnsiTheme="majorHAnsi"/>
          <w:noProof/>
        </w:rPr>
      </w:pPr>
    </w:p>
    <w:p w:rsidR="002D64DE" w:rsidRDefault="002D64DE" w:rsidP="002D64DE">
      <w:pPr>
        <w:ind w:firstLine="567"/>
        <w:jc w:val="both"/>
        <w:rPr>
          <w:rFonts w:asciiTheme="majorHAnsi" w:hAnsiTheme="majorHAnsi"/>
          <w:noProof/>
        </w:rPr>
      </w:pPr>
    </w:p>
    <w:p w:rsidR="002D64DE" w:rsidRDefault="00BF5711" w:rsidP="007420B4">
      <w:pPr>
        <w:keepNext/>
        <w:spacing w:after="120"/>
        <w:ind w:firstLine="567"/>
        <w:jc w:val="both"/>
        <w:rPr>
          <w:rFonts w:asciiTheme="majorHAnsi" w:hAnsiTheme="majorHAnsi"/>
          <w:noProof/>
        </w:rPr>
      </w:pPr>
      <w:r>
        <w:rPr>
          <w:rFonts w:asciiTheme="majorHAnsi" w:hAnsiTheme="majorHAnsi"/>
          <w:noProof/>
        </w:rPr>
        <w:t xml:space="preserve">Sur la période 2000-2010, on observe une baisse tendancielle du </w:t>
      </w:r>
      <w:r w:rsidRPr="002D64DE">
        <w:rPr>
          <w:rFonts w:asciiTheme="majorHAnsi" w:hAnsiTheme="majorHAnsi"/>
          <w:b/>
          <w:i/>
          <w:noProof/>
        </w:rPr>
        <w:t>taux d’épargne</w:t>
      </w:r>
      <w:r>
        <w:rPr>
          <w:rFonts w:asciiTheme="majorHAnsi" w:hAnsiTheme="majorHAnsi"/>
          <w:noProof/>
        </w:rPr>
        <w:t xml:space="preserve"> : alors que la </w:t>
      </w:r>
      <w:r w:rsidRPr="002D64DE">
        <w:rPr>
          <w:rFonts w:asciiTheme="majorHAnsi" w:hAnsiTheme="majorHAnsi"/>
          <w:b/>
          <w:i/>
          <w:noProof/>
        </w:rPr>
        <w:t>part des intérêts sur emprunts</w:t>
      </w:r>
      <w:r>
        <w:rPr>
          <w:rFonts w:asciiTheme="majorHAnsi" w:hAnsiTheme="majorHAnsi"/>
          <w:noProof/>
        </w:rPr>
        <w:t xml:space="preserve"> est restée relativement stable sur l’ensemble de la période (15,6%), c’est la forte augmentation de la </w:t>
      </w:r>
      <w:r w:rsidRPr="002D64DE">
        <w:rPr>
          <w:rFonts w:asciiTheme="majorHAnsi" w:hAnsiTheme="majorHAnsi"/>
          <w:b/>
          <w:i/>
          <w:noProof/>
        </w:rPr>
        <w:t>part des dividendes et autres revenus des sociétés distribués</w:t>
      </w:r>
      <w:r>
        <w:rPr>
          <w:rFonts w:asciiTheme="majorHAnsi" w:hAnsiTheme="majorHAnsi"/>
          <w:noProof/>
        </w:rPr>
        <w:t xml:space="preserve"> qui en est la cause</w:t>
      </w:r>
      <w:r w:rsidR="002D64DE">
        <w:rPr>
          <w:rFonts w:asciiTheme="majorHAnsi" w:hAnsiTheme="majorHAnsi"/>
          <w:noProof/>
        </w:rPr>
        <w:t xml:space="preserve">, qui est passée en l’espace de 10 ans de 14,6 à 26% de la valeur ajoutée (+11,4 points). </w:t>
      </w:r>
    </w:p>
    <w:p w:rsidR="00BF5711" w:rsidRDefault="002D64DE" w:rsidP="007420B4">
      <w:pPr>
        <w:keepNext/>
        <w:spacing w:after="120"/>
        <w:ind w:firstLine="567"/>
        <w:jc w:val="both"/>
        <w:rPr>
          <w:rFonts w:asciiTheme="majorHAnsi" w:hAnsiTheme="majorHAnsi"/>
          <w:noProof/>
        </w:rPr>
      </w:pPr>
      <w:r>
        <w:rPr>
          <w:rFonts w:asciiTheme="majorHAnsi" w:hAnsiTheme="majorHAnsi"/>
          <w:noProof/>
        </w:rPr>
        <w:t xml:space="preserve">On observe dans le même temps que les sociétés dégagent une part de plus en plus importante de leurs revenus primaires non pas du fait de leur activité principale (Excédent brut d’exploitation) mais en opérant des placements financiers : en 2000, si la </w:t>
      </w:r>
      <w:r w:rsidRPr="002D64DE">
        <w:rPr>
          <w:rFonts w:asciiTheme="majorHAnsi" w:hAnsiTheme="majorHAnsi"/>
          <w:b/>
          <w:i/>
          <w:noProof/>
        </w:rPr>
        <w:t>part des revenus financiers dans le revenu primaire</w:t>
      </w:r>
      <w:r>
        <w:rPr>
          <w:rFonts w:asciiTheme="majorHAnsi" w:hAnsiTheme="majorHAnsi"/>
          <w:noProof/>
        </w:rPr>
        <w:t xml:space="preserve"> des sociétés était déjà de 36,3%, elle atteint 46,1% en 2007, et reste à un niveau élevé (plus de 42%) les années suivantes, malgré la crise financière.</w:t>
      </w:r>
    </w:p>
    <w:p w:rsidR="002D64DE" w:rsidRDefault="002D64DE" w:rsidP="007420B4">
      <w:pPr>
        <w:keepNext/>
        <w:spacing w:after="120"/>
        <w:ind w:firstLine="567"/>
        <w:jc w:val="both"/>
        <w:rPr>
          <w:rFonts w:asciiTheme="majorHAnsi" w:hAnsiTheme="majorHAnsi"/>
          <w:noProof/>
        </w:rPr>
      </w:pPr>
    </w:p>
    <w:p w:rsidR="002D64DE" w:rsidRDefault="002D64DE" w:rsidP="007420B4">
      <w:pPr>
        <w:keepNext/>
        <w:spacing w:after="120"/>
        <w:ind w:firstLine="567"/>
        <w:jc w:val="both"/>
        <w:rPr>
          <w:rFonts w:asciiTheme="majorHAnsi" w:hAnsiTheme="majorHAnsi"/>
          <w:noProof/>
        </w:rPr>
      </w:pPr>
      <w:r>
        <w:rPr>
          <w:rFonts w:asciiTheme="majorHAnsi" w:hAnsiTheme="majorHAnsi"/>
          <w:noProof/>
        </w:rPr>
        <w:t xml:space="preserve">Le </w:t>
      </w:r>
      <w:r w:rsidRPr="00DE3656">
        <w:rPr>
          <w:rFonts w:asciiTheme="majorHAnsi" w:hAnsiTheme="majorHAnsi"/>
          <w:b/>
          <w:i/>
          <w:noProof/>
        </w:rPr>
        <w:t>taux d’investissement</w:t>
      </w:r>
      <w:r>
        <w:rPr>
          <w:rFonts w:asciiTheme="majorHAnsi" w:hAnsiTheme="majorHAnsi"/>
          <w:noProof/>
        </w:rPr>
        <w:t xml:space="preserve"> </w:t>
      </w:r>
      <w:r w:rsidR="00DE3656">
        <w:rPr>
          <w:rFonts w:asciiTheme="majorHAnsi" w:hAnsiTheme="majorHAnsi"/>
          <w:noProof/>
        </w:rPr>
        <w:t>suit fidèlement les fluctuations de la croissance du PIB, avec un léger décalage sur les événements géo-politiques ou économiques qui les ont provoqués : à un ralentissement de la croissance (ou a fortiori à une récession) correspond une baisse du taux d’investissement (Période 2001-2003 et en 2009), à une reprise ou une accélération de la croissance répond une augmentation du taux d’investissement (période 2004-2008). Ce taux a connu son plus bas niveau en 2003 (17,5%) et son plus haut niveau en 2008 (20,2%).</w:t>
      </w:r>
    </w:p>
    <w:p w:rsidR="00DE3656" w:rsidRDefault="00DE3656" w:rsidP="007420B4">
      <w:pPr>
        <w:keepNext/>
        <w:spacing w:after="120"/>
        <w:ind w:firstLine="567"/>
        <w:jc w:val="both"/>
        <w:rPr>
          <w:rFonts w:asciiTheme="majorHAnsi" w:hAnsiTheme="majorHAnsi"/>
          <w:noProof/>
        </w:rPr>
      </w:pPr>
      <w:r>
        <w:rPr>
          <w:rFonts w:asciiTheme="majorHAnsi" w:hAnsiTheme="majorHAnsi"/>
          <w:noProof/>
        </w:rPr>
        <w:t xml:space="preserve">Cependant, l’écart se creuse sur l’ensemble de la période entre le taux d’investissement et le taux d’épargne : en conséquence, le </w:t>
      </w:r>
      <w:r w:rsidRPr="006B4E8D">
        <w:rPr>
          <w:rFonts w:asciiTheme="majorHAnsi" w:hAnsiTheme="majorHAnsi"/>
          <w:b/>
          <w:i/>
          <w:noProof/>
        </w:rPr>
        <w:t>taux d’autofinancement</w:t>
      </w:r>
      <w:r>
        <w:rPr>
          <w:rFonts w:asciiTheme="majorHAnsi" w:hAnsiTheme="majorHAnsi"/>
          <w:noProof/>
        </w:rPr>
        <w:t xml:space="preserve"> se dégrade fortement de 2003</w:t>
      </w:r>
      <w:r w:rsidR="006B4E8D">
        <w:rPr>
          <w:rFonts w:asciiTheme="majorHAnsi" w:hAnsiTheme="majorHAnsi"/>
          <w:noProof/>
        </w:rPr>
        <w:t xml:space="preserve"> (92,9%)</w:t>
      </w:r>
      <w:r>
        <w:rPr>
          <w:rFonts w:asciiTheme="majorHAnsi" w:hAnsiTheme="majorHAnsi"/>
          <w:noProof/>
        </w:rPr>
        <w:t xml:space="preserve"> à 2008</w:t>
      </w:r>
      <w:r w:rsidR="006B4E8D">
        <w:rPr>
          <w:rFonts w:asciiTheme="majorHAnsi" w:hAnsiTheme="majorHAnsi"/>
          <w:noProof/>
        </w:rPr>
        <w:t xml:space="preserve"> (69,3%). Il se reresse par la suite mais à un niveau encore relativement faible (72,9% en 2009 du fait de la forte baisse des investissements, et 78,7% en 2010).</w:t>
      </w:r>
    </w:p>
    <w:p w:rsidR="006B4E8D" w:rsidRDefault="006B4E8D" w:rsidP="007420B4">
      <w:pPr>
        <w:keepNext/>
        <w:spacing w:after="120"/>
        <w:ind w:firstLine="567"/>
        <w:jc w:val="both"/>
        <w:rPr>
          <w:rFonts w:asciiTheme="majorHAnsi" w:hAnsiTheme="majorHAnsi"/>
          <w:noProof/>
        </w:rPr>
      </w:pPr>
    </w:p>
    <w:p w:rsidR="006B4E8D" w:rsidRDefault="006B4E8D" w:rsidP="007420B4">
      <w:pPr>
        <w:keepNext/>
        <w:spacing w:after="120"/>
        <w:ind w:firstLine="567"/>
        <w:jc w:val="both"/>
        <w:rPr>
          <w:rFonts w:asciiTheme="majorHAnsi" w:hAnsiTheme="majorHAnsi"/>
          <w:noProof/>
        </w:rPr>
      </w:pPr>
      <w:r>
        <w:rPr>
          <w:rFonts w:asciiTheme="majorHAnsi" w:hAnsiTheme="majorHAnsi"/>
          <w:noProof/>
        </w:rPr>
        <w:t xml:space="preserve">Les </w:t>
      </w:r>
      <w:r w:rsidRPr="00580FD8">
        <w:rPr>
          <w:rFonts w:asciiTheme="majorHAnsi" w:hAnsiTheme="majorHAnsi"/>
          <w:b/>
          <w:i/>
          <w:noProof/>
        </w:rPr>
        <w:t xml:space="preserve">impôts sur la production </w:t>
      </w:r>
      <w:r>
        <w:rPr>
          <w:rFonts w:asciiTheme="majorHAnsi" w:hAnsiTheme="majorHAnsi"/>
          <w:noProof/>
        </w:rPr>
        <w:t>ont tendance à baisser : d’une part parce lorsque la croissance se ralentit, les rentrées fiscales diminuent mécaniquement ; d’autre part parce que le gouvernement agit par ce biais inciter les entreprises à investir et à embaucher (ou à ne pas licencier).</w:t>
      </w:r>
    </w:p>
    <w:p w:rsidR="00F93AB1" w:rsidRDefault="006B4E8D" w:rsidP="00734014">
      <w:pPr>
        <w:keepNext/>
        <w:spacing w:after="120"/>
        <w:ind w:firstLine="567"/>
        <w:jc w:val="both"/>
        <w:rPr>
          <w:rFonts w:asciiTheme="majorHAnsi" w:hAnsiTheme="majorHAnsi"/>
          <w:noProof/>
        </w:rPr>
      </w:pPr>
      <w:r>
        <w:rPr>
          <w:rFonts w:asciiTheme="majorHAnsi" w:hAnsiTheme="majorHAnsi"/>
          <w:noProof/>
        </w:rPr>
        <w:t xml:space="preserve">Les </w:t>
      </w:r>
      <w:r w:rsidRPr="00580FD8">
        <w:rPr>
          <w:rFonts w:asciiTheme="majorHAnsi" w:hAnsiTheme="majorHAnsi"/>
          <w:b/>
          <w:i/>
          <w:noProof/>
        </w:rPr>
        <w:t>impôts sur les bénéfices des sociétés</w:t>
      </w:r>
      <w:r>
        <w:rPr>
          <w:rFonts w:asciiTheme="majorHAnsi" w:hAnsiTheme="majorHAnsi"/>
          <w:noProof/>
        </w:rPr>
        <w:t xml:space="preserve"> </w:t>
      </w:r>
      <w:r w:rsidR="00580FD8">
        <w:rPr>
          <w:rFonts w:asciiTheme="majorHAnsi" w:hAnsiTheme="majorHAnsi"/>
          <w:noProof/>
        </w:rPr>
        <w:t>suivent eux aussi très fidèlement les fluctuations de la croissance, qui se répercutent directement sur les bénéfices réalisés : la courbe représentant la part de ces impôts dans la valeur ajoutée reproduit celle du taux de croissance du PIB, ou encore celle de leur taux de marge. Ce ratio a connu des fluctuations importantes : de 4,6% en 2006 et 2008 à 1,8% en 2009</w:t>
      </w:r>
      <w:r w:rsidR="00734014">
        <w:rPr>
          <w:rFonts w:asciiTheme="majorHAnsi" w:hAnsiTheme="majorHAnsi"/>
          <w:noProof/>
        </w:rPr>
        <w:t>.</w:t>
      </w:r>
    </w:p>
    <w:p w:rsidR="00734014" w:rsidRPr="00734014" w:rsidRDefault="00734014" w:rsidP="00734014">
      <w:pPr>
        <w:keepNext/>
        <w:spacing w:after="120"/>
        <w:ind w:firstLine="567"/>
        <w:jc w:val="both"/>
        <w:rPr>
          <w:rFonts w:asciiTheme="majorHAnsi" w:hAnsiTheme="majorHAnsi"/>
          <w:noProof/>
        </w:rPr>
      </w:pPr>
    </w:p>
    <w:p w:rsidR="00F93AB1" w:rsidRPr="00F122D4" w:rsidRDefault="00F122D4" w:rsidP="00F122D4">
      <w:pPr>
        <w:jc w:val="center"/>
        <w:rPr>
          <w:rFonts w:asciiTheme="majorHAnsi" w:hAnsiTheme="majorHAnsi"/>
          <w:b/>
          <w:sz w:val="24"/>
          <w:szCs w:val="24"/>
        </w:rPr>
      </w:pPr>
      <w:r w:rsidRPr="00F122D4">
        <w:rPr>
          <w:rFonts w:asciiTheme="majorHAnsi" w:hAnsiTheme="majorHAnsi"/>
          <w:b/>
          <w:sz w:val="24"/>
          <w:szCs w:val="24"/>
        </w:rPr>
        <w:t>Le Tableau Economique d’ensemble (TEE)</w:t>
      </w:r>
    </w:p>
    <w:p w:rsidR="00F93AB1" w:rsidRPr="00F122D4" w:rsidRDefault="00F93AB1" w:rsidP="00F93AB1">
      <w:pPr>
        <w:rPr>
          <w:rFonts w:asciiTheme="majorHAnsi" w:hAnsiTheme="majorHAnsi"/>
        </w:rPr>
      </w:pPr>
    </w:p>
    <w:p w:rsidR="00F93AB1" w:rsidRDefault="00F122D4" w:rsidP="006836A6">
      <w:pPr>
        <w:ind w:firstLine="567"/>
        <w:jc w:val="both"/>
        <w:rPr>
          <w:rFonts w:asciiTheme="majorHAnsi" w:hAnsiTheme="majorHAnsi"/>
        </w:rPr>
      </w:pPr>
      <w:r>
        <w:rPr>
          <w:rFonts w:asciiTheme="majorHAnsi" w:hAnsiTheme="majorHAnsi"/>
        </w:rPr>
        <w:t xml:space="preserve">Ce tableau récapitule l’ensemble de l’activité économique de la France pendant une année. </w:t>
      </w:r>
    </w:p>
    <w:p w:rsidR="00F122D4" w:rsidRDefault="00F122D4" w:rsidP="006836A6">
      <w:pPr>
        <w:ind w:firstLine="567"/>
        <w:jc w:val="both"/>
        <w:rPr>
          <w:rFonts w:asciiTheme="majorHAnsi" w:hAnsiTheme="majorHAnsi"/>
        </w:rPr>
      </w:pPr>
      <w:r>
        <w:rPr>
          <w:rFonts w:asciiTheme="majorHAnsi" w:hAnsiTheme="majorHAnsi"/>
        </w:rPr>
        <w:t>Il présente sur un document unique l’ensemble des comptes des secteurs institutionnels. Il est scindé en deux parties construites de manière identique : une partie « Emplois » et une partie « Ressources ».</w:t>
      </w:r>
    </w:p>
    <w:p w:rsidR="00F122D4" w:rsidRDefault="00F122D4" w:rsidP="006836A6">
      <w:pPr>
        <w:ind w:firstLine="567"/>
        <w:jc w:val="both"/>
        <w:rPr>
          <w:rFonts w:asciiTheme="majorHAnsi" w:hAnsiTheme="majorHAnsi"/>
        </w:rPr>
      </w:pPr>
    </w:p>
    <w:p w:rsidR="00F122D4" w:rsidRDefault="005923F0" w:rsidP="006836A6">
      <w:pPr>
        <w:ind w:firstLine="567"/>
        <w:jc w:val="both"/>
        <w:rPr>
          <w:rFonts w:asciiTheme="majorHAnsi" w:hAnsiTheme="majorHAnsi"/>
        </w:rPr>
      </w:pPr>
      <w:r>
        <w:rPr>
          <w:rFonts w:asciiTheme="majorHAnsi" w:hAnsiTheme="majorHAnsi"/>
        </w:rPr>
        <w:t>Chaque partie comprend</w:t>
      </w:r>
      <w:r w:rsidR="00C06405">
        <w:rPr>
          <w:rFonts w:asciiTheme="majorHAnsi" w:hAnsiTheme="majorHAnsi"/>
        </w:rPr>
        <w:t xml:space="preserve"> 5</w:t>
      </w:r>
      <w:r w:rsidR="00F122D4">
        <w:rPr>
          <w:rFonts w:asciiTheme="majorHAnsi" w:hAnsiTheme="majorHAnsi"/>
        </w:rPr>
        <w:t xml:space="preserve"> colonne</w:t>
      </w:r>
      <w:r w:rsidR="00C06405">
        <w:rPr>
          <w:rFonts w:asciiTheme="majorHAnsi" w:hAnsiTheme="majorHAnsi"/>
        </w:rPr>
        <w:t>s</w:t>
      </w:r>
      <w:r w:rsidR="00F122D4">
        <w:rPr>
          <w:rFonts w:asciiTheme="majorHAnsi" w:hAnsiTheme="majorHAnsi"/>
        </w:rPr>
        <w:t xml:space="preserve"> p</w:t>
      </w:r>
      <w:r w:rsidR="00C06405">
        <w:rPr>
          <w:rFonts w:asciiTheme="majorHAnsi" w:hAnsiTheme="majorHAnsi"/>
        </w:rPr>
        <w:t>résentant les comptes de chaque</w:t>
      </w:r>
      <w:r w:rsidR="00F122D4">
        <w:rPr>
          <w:rFonts w:asciiTheme="majorHAnsi" w:hAnsiTheme="majorHAnsi"/>
        </w:rPr>
        <w:t xml:space="preserve"> secteur institutionnel résident</w:t>
      </w:r>
      <w:r w:rsidR="00C06405">
        <w:rPr>
          <w:rFonts w:asciiTheme="majorHAnsi" w:hAnsiTheme="majorHAnsi"/>
        </w:rPr>
        <w:t xml:space="preserve"> (SNF, SF, APU, Ménages, ISBLSM)</w:t>
      </w:r>
      <w:r w:rsidR="00F111E2">
        <w:rPr>
          <w:rFonts w:asciiTheme="majorHAnsi" w:hAnsiTheme="majorHAnsi"/>
        </w:rPr>
        <w:t xml:space="preserve"> </w:t>
      </w:r>
      <w:r w:rsidR="00F122D4">
        <w:rPr>
          <w:rFonts w:asciiTheme="majorHAnsi" w:hAnsiTheme="majorHAnsi"/>
        </w:rPr>
        <w:t>, auxquelles s’ajoutent :</w:t>
      </w:r>
    </w:p>
    <w:p w:rsidR="00F122D4" w:rsidRDefault="00F122D4" w:rsidP="006836A6">
      <w:pPr>
        <w:pStyle w:val="ListParagraph"/>
        <w:numPr>
          <w:ilvl w:val="0"/>
          <w:numId w:val="17"/>
        </w:numPr>
        <w:jc w:val="both"/>
        <w:rPr>
          <w:rFonts w:asciiTheme="majorHAnsi" w:hAnsiTheme="majorHAnsi"/>
        </w:rPr>
      </w:pPr>
      <w:r>
        <w:rPr>
          <w:rFonts w:asciiTheme="majorHAnsi" w:hAnsiTheme="majorHAnsi"/>
        </w:rPr>
        <w:t>Une colonne « Economie Nationale » agrégeant les comptes de ces 5 secteurs</w:t>
      </w:r>
    </w:p>
    <w:p w:rsidR="00F122D4" w:rsidRDefault="005923F0" w:rsidP="006836A6">
      <w:pPr>
        <w:pStyle w:val="ListParagraph"/>
        <w:numPr>
          <w:ilvl w:val="0"/>
          <w:numId w:val="17"/>
        </w:numPr>
        <w:jc w:val="both"/>
        <w:rPr>
          <w:rFonts w:asciiTheme="majorHAnsi" w:hAnsiTheme="majorHAnsi"/>
        </w:rPr>
      </w:pPr>
      <w:r>
        <w:rPr>
          <w:rFonts w:asciiTheme="majorHAnsi" w:hAnsiTheme="majorHAnsi"/>
        </w:rPr>
        <w:t>Une colonne pour le Reste du M</w:t>
      </w:r>
      <w:r w:rsidR="00F122D4">
        <w:rPr>
          <w:rFonts w:asciiTheme="majorHAnsi" w:hAnsiTheme="majorHAnsi"/>
        </w:rPr>
        <w:t>onde</w:t>
      </w:r>
    </w:p>
    <w:p w:rsidR="00F122D4" w:rsidRDefault="00F122D4" w:rsidP="006836A6">
      <w:pPr>
        <w:pStyle w:val="ListParagraph"/>
        <w:numPr>
          <w:ilvl w:val="0"/>
          <w:numId w:val="17"/>
        </w:numPr>
        <w:jc w:val="both"/>
        <w:rPr>
          <w:rFonts w:asciiTheme="majorHAnsi" w:hAnsiTheme="majorHAnsi"/>
        </w:rPr>
      </w:pPr>
      <w:r>
        <w:rPr>
          <w:rFonts w:asciiTheme="majorHAnsi" w:hAnsiTheme="majorHAnsi"/>
        </w:rPr>
        <w:t>Une colonne à part pour la comptabilisation des impôts nets de subventions sur les produits.</w:t>
      </w:r>
    </w:p>
    <w:p w:rsidR="00F122D4" w:rsidRDefault="00F122D4" w:rsidP="006836A6">
      <w:pPr>
        <w:pStyle w:val="ListParagraph"/>
        <w:numPr>
          <w:ilvl w:val="0"/>
          <w:numId w:val="17"/>
        </w:numPr>
        <w:jc w:val="both"/>
        <w:rPr>
          <w:rFonts w:asciiTheme="majorHAnsi" w:hAnsiTheme="majorHAnsi"/>
        </w:rPr>
      </w:pPr>
      <w:r>
        <w:rPr>
          <w:rFonts w:asciiTheme="majorHAnsi" w:hAnsiTheme="majorHAnsi"/>
        </w:rPr>
        <w:t>Une colonne Biens et services</w:t>
      </w:r>
      <w:r w:rsidR="005923F0">
        <w:rPr>
          <w:rFonts w:asciiTheme="majorHAnsi" w:hAnsiTheme="majorHAnsi"/>
        </w:rPr>
        <w:t xml:space="preserve">, destinée à </w:t>
      </w:r>
      <w:r w:rsidR="00F111E2">
        <w:rPr>
          <w:rFonts w:asciiTheme="majorHAnsi" w:hAnsiTheme="majorHAnsi"/>
        </w:rPr>
        <w:t xml:space="preserve">assurer l’équilibre Emplois-Ressources de </w:t>
      </w:r>
      <w:r w:rsidR="005923F0">
        <w:rPr>
          <w:rFonts w:asciiTheme="majorHAnsi" w:hAnsiTheme="majorHAnsi"/>
        </w:rPr>
        <w:t xml:space="preserve">chacune des lignes du tableau : il s’agit d’un secteur fictif, le « Marché des biens et services », dont la fonction est d’acquérir (emploi pour ce secteur) la production de chacun des secteurs ainsi que les biens et services importés et de les revendre </w:t>
      </w:r>
      <w:r w:rsidR="006836A6">
        <w:rPr>
          <w:rFonts w:asciiTheme="majorHAnsi" w:hAnsiTheme="majorHAnsi"/>
        </w:rPr>
        <w:t>(ressou</w:t>
      </w:r>
      <w:r w:rsidR="005923F0">
        <w:rPr>
          <w:rFonts w:asciiTheme="majorHAnsi" w:hAnsiTheme="majorHAnsi"/>
        </w:rPr>
        <w:t>rce pour ce secteur</w:t>
      </w:r>
      <w:r w:rsidR="006836A6">
        <w:rPr>
          <w:rFonts w:asciiTheme="majorHAnsi" w:hAnsiTheme="majorHAnsi"/>
        </w:rPr>
        <w:t xml:space="preserve">) </w:t>
      </w:r>
      <w:r w:rsidR="005923F0">
        <w:rPr>
          <w:rFonts w:asciiTheme="majorHAnsi" w:hAnsiTheme="majorHAnsi"/>
        </w:rPr>
        <w:t>aux différents secteurs en fonction de leurs utilisations : consommations intermédiaires, consommation finale, formation brute de capita</w:t>
      </w:r>
      <w:r w:rsidR="00C06405">
        <w:rPr>
          <w:rFonts w:asciiTheme="majorHAnsi" w:hAnsiTheme="majorHAnsi"/>
        </w:rPr>
        <w:t>l ou exportations.</w:t>
      </w:r>
      <w:r w:rsidR="005923F0">
        <w:rPr>
          <w:rFonts w:asciiTheme="majorHAnsi" w:hAnsiTheme="majorHAnsi"/>
        </w:rPr>
        <w:t xml:space="preserve"> </w:t>
      </w:r>
    </w:p>
    <w:p w:rsidR="00F111E2" w:rsidRDefault="00F111E2" w:rsidP="006836A6">
      <w:pPr>
        <w:pStyle w:val="ListParagraph"/>
        <w:numPr>
          <w:ilvl w:val="0"/>
          <w:numId w:val="17"/>
        </w:numPr>
        <w:jc w:val="both"/>
        <w:rPr>
          <w:rFonts w:asciiTheme="majorHAnsi" w:hAnsiTheme="majorHAnsi"/>
        </w:rPr>
      </w:pPr>
      <w:r>
        <w:rPr>
          <w:rFonts w:asciiTheme="majorHAnsi" w:hAnsiTheme="majorHAnsi"/>
        </w:rPr>
        <w:t>Une colonne « Total » où l’on constate effectivement cet équilibre pour chaque ligne.</w:t>
      </w:r>
    </w:p>
    <w:p w:rsidR="00F111E2" w:rsidRPr="00F111E2" w:rsidRDefault="00F111E2" w:rsidP="00F111E2">
      <w:pPr>
        <w:jc w:val="both"/>
        <w:rPr>
          <w:rFonts w:asciiTheme="majorHAnsi" w:hAnsiTheme="majorHAnsi"/>
        </w:rPr>
      </w:pPr>
    </w:p>
    <w:p w:rsidR="0076022E" w:rsidRDefault="0076022E" w:rsidP="0076022E">
      <w:pPr>
        <w:ind w:firstLine="567"/>
        <w:jc w:val="both"/>
        <w:rPr>
          <w:rFonts w:asciiTheme="majorHAnsi" w:hAnsiTheme="majorHAnsi"/>
        </w:rPr>
      </w:pPr>
      <w:r>
        <w:rPr>
          <w:rFonts w:asciiTheme="majorHAnsi" w:hAnsiTheme="majorHAnsi"/>
        </w:rPr>
        <w:t>Les lignes du tableau respectent la structure des compt</w:t>
      </w:r>
      <w:r w:rsidR="00E37637">
        <w:rPr>
          <w:rFonts w:asciiTheme="majorHAnsi" w:hAnsiTheme="majorHAnsi"/>
        </w:rPr>
        <w:t>es des secteurs institutionnels, et présentent successivement le compte de production, le compte d’exploitation, le compte d’affectation des revenus primaires, le compte de distribution secondaire du revenu, le compte d’utilisation du revenu et le compte de capital, ainsi que leur solde respectif, en ce qui concerne les opérations sur biens et services et les opérations de répartition ; ces comptes sont suivis du compte financier et des comptes de patrimoine des secteurs (que nous n’examinerons pas).</w:t>
      </w:r>
    </w:p>
    <w:p w:rsidR="00F93AB1" w:rsidRDefault="00E37637" w:rsidP="00327E07">
      <w:pPr>
        <w:ind w:firstLine="567"/>
        <w:jc w:val="both"/>
      </w:pPr>
      <w:r>
        <w:rPr>
          <w:rFonts w:asciiTheme="majorHAnsi" w:hAnsiTheme="majorHAnsi"/>
        </w:rPr>
        <w:t>Les soldes de chaque compte sont présentés « bruts » et « nets », c’est-à-dire consommation d</w:t>
      </w:r>
      <w:r w:rsidR="00EE79A7">
        <w:rPr>
          <w:rFonts w:asciiTheme="majorHAnsi" w:hAnsiTheme="majorHAnsi"/>
        </w:rPr>
        <w:t>e</w:t>
      </w:r>
      <w:r>
        <w:rPr>
          <w:rFonts w:asciiTheme="majorHAnsi" w:hAnsiTheme="majorHAnsi"/>
        </w:rPr>
        <w:t xml:space="preserve"> capital fixe déduite.</w:t>
      </w:r>
    </w:p>
    <w:p w:rsidR="00327E07" w:rsidRDefault="00327E07" w:rsidP="00F93AB1">
      <w:pPr>
        <w:ind w:firstLine="567"/>
        <w:jc w:val="center"/>
        <w:rPr>
          <w:rFonts w:asciiTheme="majorHAnsi" w:hAnsiTheme="majorHAnsi"/>
          <w:b/>
          <w:sz w:val="28"/>
          <w:szCs w:val="28"/>
        </w:rPr>
      </w:pPr>
    </w:p>
    <w:p w:rsidR="00F93AB1" w:rsidRPr="002924D1" w:rsidRDefault="00F93AB1" w:rsidP="00F93AB1">
      <w:pPr>
        <w:ind w:firstLine="567"/>
        <w:jc w:val="center"/>
        <w:rPr>
          <w:rFonts w:asciiTheme="majorHAnsi" w:hAnsiTheme="majorHAnsi"/>
          <w:b/>
          <w:sz w:val="28"/>
          <w:szCs w:val="28"/>
        </w:rPr>
      </w:pPr>
      <w:r w:rsidRPr="002924D1">
        <w:rPr>
          <w:rFonts w:asciiTheme="majorHAnsi" w:hAnsiTheme="majorHAnsi"/>
          <w:b/>
          <w:sz w:val="28"/>
          <w:szCs w:val="28"/>
        </w:rPr>
        <w:t>Ce qu’il faut savoir sur les comptes des secteurs institutionnels.</w:t>
      </w:r>
    </w:p>
    <w:p w:rsidR="00F93AB1" w:rsidRPr="002924D1" w:rsidRDefault="00F93AB1" w:rsidP="00F93AB1">
      <w:pPr>
        <w:jc w:val="both"/>
        <w:rPr>
          <w:rFonts w:asciiTheme="majorHAnsi" w:hAnsiTheme="majorHAnsi"/>
        </w:rPr>
      </w:pPr>
    </w:p>
    <w:p w:rsidR="00F93AB1" w:rsidRPr="002924D1" w:rsidRDefault="00F93AB1" w:rsidP="00F93AB1">
      <w:pPr>
        <w:ind w:firstLine="567"/>
        <w:jc w:val="both"/>
        <w:rPr>
          <w:rFonts w:asciiTheme="majorHAnsi" w:hAnsiTheme="majorHAnsi"/>
        </w:rPr>
      </w:pPr>
      <w:r w:rsidRPr="002924D1">
        <w:rPr>
          <w:rFonts w:asciiTheme="majorHAnsi" w:hAnsiTheme="majorHAnsi"/>
        </w:rPr>
        <w:t>Les comptes des secteurs institutionnels permettent de récapituler l’activité de chaque secteur sur une année, par l'intermédiaire d'un ensemble de comptes : ils enregistrent, dans 6 comptes articulés entre eux par l’intermédiaire de leur solde, les opérations sur biens et services et les opérations de répartition ; s’y ajoutent un compte spécifique pour les opérations financières et des comptes de patrimoine (que nous n’examinerons pas).</w:t>
      </w:r>
    </w:p>
    <w:p w:rsidR="00122176" w:rsidRDefault="00122176" w:rsidP="00F93AB1">
      <w:pPr>
        <w:ind w:firstLine="567"/>
        <w:jc w:val="both"/>
        <w:rPr>
          <w:rFonts w:asciiTheme="majorHAnsi" w:hAnsiTheme="majorHAnsi"/>
        </w:rPr>
      </w:pPr>
    </w:p>
    <w:p w:rsidR="00F93AB1" w:rsidRPr="002924D1" w:rsidRDefault="00F93AB1" w:rsidP="00F93AB1">
      <w:pPr>
        <w:ind w:firstLine="567"/>
        <w:jc w:val="both"/>
        <w:rPr>
          <w:rFonts w:asciiTheme="majorHAnsi" w:hAnsiTheme="majorHAnsi"/>
        </w:rPr>
      </w:pPr>
      <w:r w:rsidRPr="002924D1">
        <w:rPr>
          <w:rFonts w:asciiTheme="majorHAnsi" w:hAnsiTheme="majorHAnsi"/>
        </w:rPr>
        <w:t xml:space="preserve">Les 6 comptes d’opérations courantes (biens et services et répartition) présentent en partie droite les ressources, en partie gauche les emplois. </w:t>
      </w:r>
      <w:r w:rsidRPr="002924D1">
        <w:rPr>
          <w:rFonts w:asciiTheme="majorHAnsi" w:hAnsiTheme="majorHAnsi"/>
          <w:b/>
          <w:i/>
        </w:rPr>
        <w:t>Le solde</w:t>
      </w:r>
      <w:r w:rsidRPr="002924D1">
        <w:rPr>
          <w:rFonts w:asciiTheme="majorHAnsi" w:hAnsiTheme="majorHAnsi"/>
        </w:rPr>
        <w:t xml:space="preserve"> </w:t>
      </w:r>
      <w:r w:rsidR="00122176">
        <w:rPr>
          <w:rFonts w:asciiTheme="majorHAnsi" w:hAnsiTheme="majorHAnsi"/>
        </w:rPr>
        <w:t xml:space="preserve">de chaque compte </w:t>
      </w:r>
      <w:r w:rsidRPr="002924D1">
        <w:rPr>
          <w:rFonts w:asciiTheme="majorHAnsi" w:hAnsiTheme="majorHAnsi"/>
        </w:rPr>
        <w:t xml:space="preserve">est obtenu par la différence entre les ressources et les emplois (Ressources – Emplois), il </w:t>
      </w:r>
      <w:r w:rsidRPr="002924D1">
        <w:rPr>
          <w:rFonts w:asciiTheme="majorHAnsi" w:hAnsiTheme="majorHAnsi"/>
          <w:b/>
          <w:i/>
        </w:rPr>
        <w:t>est toujours inscrit en Emplois</w:t>
      </w:r>
      <w:r w:rsidRPr="002924D1">
        <w:rPr>
          <w:rFonts w:asciiTheme="majorHAnsi" w:hAnsiTheme="majorHAnsi"/>
        </w:rPr>
        <w:t>, quelque soit son signe (négatif ou positif).</w:t>
      </w:r>
    </w:p>
    <w:p w:rsidR="00F93AB1" w:rsidRDefault="00F93AB1" w:rsidP="00F93AB1">
      <w:pPr>
        <w:jc w:val="both"/>
        <w:rPr>
          <w:rFonts w:asciiTheme="majorHAnsi" w:hAnsiTheme="majorHAnsi"/>
        </w:rPr>
      </w:pPr>
    </w:p>
    <w:p w:rsidR="002924D1" w:rsidRPr="002924D1" w:rsidRDefault="002924D1" w:rsidP="00F93AB1">
      <w:pPr>
        <w:jc w:val="both"/>
        <w:rPr>
          <w:rFonts w:asciiTheme="majorHAnsi" w:hAnsiTheme="majorHAnsi"/>
        </w:rPr>
      </w:pPr>
    </w:p>
    <w:p w:rsidR="00F93AB1" w:rsidRDefault="00F93AB1" w:rsidP="00F93AB1">
      <w:pPr>
        <w:ind w:firstLine="567"/>
        <w:jc w:val="both"/>
        <w:rPr>
          <w:rFonts w:asciiTheme="majorHAnsi" w:hAnsiTheme="majorHAnsi"/>
          <w:b/>
          <w:bCs/>
        </w:rPr>
      </w:pPr>
      <w:r w:rsidRPr="002924D1">
        <w:rPr>
          <w:rFonts w:asciiTheme="majorHAnsi" w:hAnsiTheme="majorHAnsi"/>
          <w:b/>
          <w:bCs/>
        </w:rPr>
        <w:t>Premier compte : le compte de production.</w:t>
      </w:r>
    </w:p>
    <w:p w:rsidR="003A5186" w:rsidRPr="002924D1" w:rsidRDefault="003A5186" w:rsidP="00F93AB1">
      <w:pPr>
        <w:ind w:firstLine="567"/>
        <w:jc w:val="both"/>
        <w:rPr>
          <w:rFonts w:asciiTheme="majorHAnsi" w:hAnsiTheme="majorHAnsi"/>
          <w:b/>
          <w:bCs/>
        </w:rPr>
      </w:pPr>
    </w:p>
    <w:p w:rsidR="00F93AB1" w:rsidRPr="002924D1" w:rsidRDefault="00F93AB1" w:rsidP="00F93AB1">
      <w:pPr>
        <w:ind w:firstLine="567"/>
        <w:jc w:val="both"/>
        <w:rPr>
          <w:rFonts w:asciiTheme="majorHAnsi" w:hAnsiTheme="majorHAnsi"/>
          <w:bCs/>
        </w:rPr>
      </w:pPr>
      <w:r w:rsidRPr="002924D1">
        <w:rPr>
          <w:rFonts w:asciiTheme="majorHAnsi" w:hAnsiTheme="majorHAnsi"/>
          <w:bCs/>
        </w:rPr>
        <w:t>Il indique comment s’est formée la valeur ajoutée du secteur : celle-ci est égale à la production totale effective du secteur, calculée aux prix de base (c’est-à-dire aux prix « sortie usine » facturé par le fournisseur, hors taxes), diminuée de la valeur – hors taxes – des consommations intermédiaires.</w:t>
      </w:r>
    </w:p>
    <w:p w:rsidR="00F93AB1" w:rsidRPr="002924D1" w:rsidRDefault="00F93AB1" w:rsidP="00F93AB1">
      <w:pPr>
        <w:ind w:firstLine="567"/>
        <w:jc w:val="both"/>
        <w:rPr>
          <w:rFonts w:asciiTheme="majorHAnsi" w:hAnsiTheme="majorHAnsi"/>
          <w:bCs/>
        </w:rPr>
      </w:pPr>
      <w:r w:rsidRPr="002924D1">
        <w:rPr>
          <w:rFonts w:asciiTheme="majorHAnsi" w:hAnsiTheme="majorHAnsi"/>
          <w:bCs/>
        </w:rPr>
        <w:t xml:space="preserve">La </w:t>
      </w:r>
      <w:r w:rsidRPr="008827F2">
        <w:rPr>
          <w:rFonts w:asciiTheme="majorHAnsi" w:hAnsiTheme="majorHAnsi"/>
          <w:b/>
          <w:bCs/>
        </w:rPr>
        <w:t>valeur ajoutée brute</w:t>
      </w:r>
      <w:r w:rsidR="002924D1">
        <w:rPr>
          <w:rStyle w:val="FootnoteReference"/>
          <w:rFonts w:asciiTheme="majorHAnsi" w:hAnsiTheme="majorHAnsi"/>
          <w:bCs/>
        </w:rPr>
        <w:footnoteReference w:id="4"/>
      </w:r>
      <w:r w:rsidRPr="002924D1">
        <w:rPr>
          <w:rFonts w:asciiTheme="majorHAnsi" w:hAnsiTheme="majorHAnsi"/>
          <w:bCs/>
        </w:rPr>
        <w:t xml:space="preserve"> est le solde de ce compte. Sa structure est identique pour tous les secteurs :</w:t>
      </w:r>
    </w:p>
    <w:p w:rsidR="00F93AB1" w:rsidRPr="002924D1" w:rsidRDefault="00F93AB1" w:rsidP="00F93AB1">
      <w:pPr>
        <w:ind w:firstLine="567"/>
        <w:jc w:val="both"/>
        <w:rPr>
          <w:rFonts w:asciiTheme="majorHAnsi" w:hAnsiTheme="maj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54"/>
        <w:gridCol w:w="4855"/>
      </w:tblGrid>
      <w:tr w:rsidR="00F93AB1" w:rsidRPr="002924D1">
        <w:tc>
          <w:tcPr>
            <w:tcW w:w="4854" w:type="dxa"/>
            <w:tcBorders>
              <w:top w:val="double" w:sz="4" w:space="0" w:color="auto"/>
              <w:left w:val="double" w:sz="4" w:space="0" w:color="auto"/>
              <w:bottom w:val="double" w:sz="4" w:space="0" w:color="auto"/>
            </w:tcBorders>
            <w:vAlign w:val="center"/>
          </w:tcPr>
          <w:p w:rsidR="00F93AB1" w:rsidRPr="002924D1" w:rsidRDefault="00F93AB1" w:rsidP="00F93AB1">
            <w:pPr>
              <w:pStyle w:val="Heading2"/>
              <w:rPr>
                <w:rFonts w:asciiTheme="majorHAnsi" w:hAnsiTheme="majorHAnsi"/>
                <w:sz w:val="18"/>
                <w:szCs w:val="18"/>
              </w:rPr>
            </w:pPr>
            <w:r w:rsidRPr="002924D1">
              <w:rPr>
                <w:rFonts w:asciiTheme="majorHAnsi" w:hAnsiTheme="majorHAnsi"/>
                <w:sz w:val="18"/>
                <w:szCs w:val="18"/>
              </w:rPr>
              <w:t>Emplois</w:t>
            </w:r>
          </w:p>
        </w:tc>
        <w:tc>
          <w:tcPr>
            <w:tcW w:w="4855" w:type="dxa"/>
            <w:tcBorders>
              <w:top w:val="double" w:sz="4" w:space="0" w:color="auto"/>
              <w:bottom w:val="double" w:sz="4" w:space="0" w:color="auto"/>
              <w:right w:val="double" w:sz="4" w:space="0" w:color="auto"/>
            </w:tcBorders>
            <w:vAlign w:val="center"/>
          </w:tcPr>
          <w:p w:rsidR="00F93AB1" w:rsidRPr="002924D1" w:rsidRDefault="00F93AB1" w:rsidP="00F93AB1">
            <w:pPr>
              <w:pStyle w:val="Heading2"/>
              <w:rPr>
                <w:rFonts w:asciiTheme="majorHAnsi" w:hAnsiTheme="majorHAnsi"/>
                <w:sz w:val="18"/>
                <w:szCs w:val="18"/>
              </w:rPr>
            </w:pPr>
            <w:r w:rsidRPr="002924D1">
              <w:rPr>
                <w:rFonts w:asciiTheme="majorHAnsi" w:hAnsiTheme="majorHAnsi"/>
                <w:sz w:val="18"/>
                <w:szCs w:val="18"/>
              </w:rPr>
              <w:t>Ressources</w:t>
            </w:r>
          </w:p>
        </w:tc>
      </w:tr>
      <w:tr w:rsidR="00F93AB1" w:rsidRPr="002924D1">
        <w:trPr>
          <w:cantSplit/>
        </w:trPr>
        <w:tc>
          <w:tcPr>
            <w:tcW w:w="9709" w:type="dxa"/>
            <w:gridSpan w:val="2"/>
            <w:tcBorders>
              <w:top w:val="double" w:sz="4" w:space="0" w:color="auto"/>
              <w:left w:val="double" w:sz="4" w:space="0" w:color="auto"/>
              <w:bottom w:val="double" w:sz="4" w:space="0" w:color="auto"/>
              <w:right w:val="double" w:sz="4" w:space="0" w:color="auto"/>
            </w:tcBorders>
            <w:vAlign w:val="center"/>
          </w:tcPr>
          <w:p w:rsidR="00F93AB1" w:rsidRPr="002924D1" w:rsidRDefault="00F93AB1" w:rsidP="00F93AB1">
            <w:pPr>
              <w:pStyle w:val="Heading1"/>
              <w:rPr>
                <w:rFonts w:asciiTheme="majorHAnsi" w:hAnsiTheme="majorHAnsi"/>
                <w:sz w:val="18"/>
                <w:szCs w:val="18"/>
              </w:rPr>
            </w:pPr>
            <w:r w:rsidRPr="002924D1">
              <w:rPr>
                <w:rFonts w:asciiTheme="majorHAnsi" w:hAnsiTheme="majorHAnsi"/>
                <w:sz w:val="18"/>
                <w:szCs w:val="18"/>
              </w:rPr>
              <w:t>Compte de production</w:t>
            </w:r>
          </w:p>
        </w:tc>
      </w:tr>
      <w:tr w:rsidR="00F93AB1" w:rsidRPr="002924D1">
        <w:tc>
          <w:tcPr>
            <w:tcW w:w="4854" w:type="dxa"/>
            <w:tcBorders>
              <w:top w:val="double" w:sz="4" w:space="0" w:color="auto"/>
              <w:left w:val="double" w:sz="4" w:space="0" w:color="auto"/>
            </w:tcBorders>
            <w:vAlign w:val="center"/>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Consommations intermédiaires                      </w:t>
            </w:r>
          </w:p>
        </w:tc>
        <w:tc>
          <w:tcPr>
            <w:tcW w:w="4855" w:type="dxa"/>
            <w:tcBorders>
              <w:top w:val="double" w:sz="4" w:space="0" w:color="auto"/>
              <w:right w:val="double" w:sz="4" w:space="0" w:color="auto"/>
            </w:tcBorders>
            <w:vAlign w:val="center"/>
          </w:tcPr>
          <w:p w:rsidR="00F93AB1" w:rsidRPr="002924D1" w:rsidRDefault="00F93AB1" w:rsidP="00F93AB1">
            <w:pPr>
              <w:pStyle w:val="FootnoteText"/>
              <w:tabs>
                <w:tab w:val="right" w:pos="4502"/>
              </w:tabs>
              <w:rPr>
                <w:rFonts w:asciiTheme="majorHAnsi" w:hAnsiTheme="majorHAnsi"/>
                <w:sz w:val="18"/>
                <w:szCs w:val="18"/>
              </w:rPr>
            </w:pPr>
            <w:r w:rsidRPr="002924D1">
              <w:rPr>
                <w:rFonts w:asciiTheme="majorHAnsi" w:hAnsiTheme="majorHAnsi"/>
                <w:sz w:val="18"/>
                <w:szCs w:val="18"/>
              </w:rPr>
              <w:t xml:space="preserve">Production effective totale                           </w:t>
            </w:r>
          </w:p>
        </w:tc>
      </w:tr>
      <w:tr w:rsidR="00F93AB1" w:rsidRPr="002924D1">
        <w:tc>
          <w:tcPr>
            <w:tcW w:w="485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Solde : Valeur Ajoutée Brute (VAB)                                                    </w:t>
            </w:r>
          </w:p>
        </w:tc>
        <w:tc>
          <w:tcPr>
            <w:tcW w:w="4855" w:type="dxa"/>
            <w:tcBorders>
              <w:left w:val="nil"/>
              <w:bottom w:val="double" w:sz="4" w:space="0" w:color="auto"/>
              <w:right w:val="double" w:sz="4" w:space="0" w:color="auto"/>
            </w:tcBorders>
            <w:vAlign w:val="center"/>
          </w:tcPr>
          <w:p w:rsidR="00F93AB1" w:rsidRPr="002924D1" w:rsidRDefault="00F93AB1" w:rsidP="00F93AB1">
            <w:pPr>
              <w:pStyle w:val="FootnoteText"/>
              <w:tabs>
                <w:tab w:val="right" w:pos="4536"/>
              </w:tabs>
              <w:rPr>
                <w:rFonts w:asciiTheme="majorHAnsi" w:hAnsiTheme="majorHAnsi"/>
                <w:sz w:val="18"/>
                <w:szCs w:val="18"/>
              </w:rPr>
            </w:pPr>
          </w:p>
        </w:tc>
      </w:tr>
    </w:tbl>
    <w:p w:rsidR="002924D1" w:rsidRDefault="002924D1" w:rsidP="00F93AB1">
      <w:pPr>
        <w:jc w:val="both"/>
        <w:rPr>
          <w:rFonts w:asciiTheme="majorHAnsi" w:hAnsiTheme="majorHAnsi"/>
          <w:bCs/>
        </w:rPr>
      </w:pPr>
    </w:p>
    <w:p w:rsidR="002924D1" w:rsidRPr="002924D1" w:rsidRDefault="002924D1" w:rsidP="00F93AB1">
      <w:pPr>
        <w:jc w:val="both"/>
        <w:rPr>
          <w:rFonts w:asciiTheme="majorHAnsi" w:hAnsiTheme="majorHAnsi"/>
          <w:bCs/>
        </w:rPr>
      </w:pPr>
    </w:p>
    <w:p w:rsidR="00F93AB1" w:rsidRDefault="00F93AB1" w:rsidP="00F93AB1">
      <w:pPr>
        <w:ind w:firstLine="567"/>
        <w:jc w:val="both"/>
        <w:rPr>
          <w:rFonts w:asciiTheme="majorHAnsi" w:hAnsiTheme="majorHAnsi"/>
        </w:rPr>
      </w:pPr>
      <w:r w:rsidRPr="002924D1">
        <w:rPr>
          <w:rFonts w:asciiTheme="majorHAnsi" w:hAnsiTheme="majorHAnsi"/>
        </w:rPr>
        <w:t xml:space="preserve"> </w:t>
      </w:r>
      <w:r w:rsidRPr="002924D1">
        <w:rPr>
          <w:rFonts w:asciiTheme="majorHAnsi" w:hAnsiTheme="majorHAnsi"/>
          <w:b/>
        </w:rPr>
        <w:t xml:space="preserve">Deuxième compte : Le </w:t>
      </w:r>
      <w:r w:rsidRPr="002924D1">
        <w:rPr>
          <w:rFonts w:asciiTheme="majorHAnsi" w:hAnsiTheme="majorHAnsi"/>
          <w:b/>
          <w:bCs/>
        </w:rPr>
        <w:t>compte d'exploitation</w:t>
      </w:r>
      <w:r w:rsidRPr="002924D1">
        <w:rPr>
          <w:rFonts w:asciiTheme="majorHAnsi" w:hAnsiTheme="majorHAnsi"/>
        </w:rPr>
        <w:t>.</w:t>
      </w:r>
    </w:p>
    <w:p w:rsidR="003A5186" w:rsidRPr="002924D1" w:rsidRDefault="003A5186" w:rsidP="00F93AB1">
      <w:pPr>
        <w:ind w:firstLine="567"/>
        <w:jc w:val="both"/>
        <w:rPr>
          <w:rFonts w:asciiTheme="majorHAnsi" w:hAnsiTheme="majorHAnsi"/>
        </w:rPr>
      </w:pPr>
    </w:p>
    <w:p w:rsidR="00F93AB1" w:rsidRPr="002924D1" w:rsidRDefault="00F93AB1" w:rsidP="00F93AB1">
      <w:pPr>
        <w:ind w:firstLine="567"/>
        <w:jc w:val="both"/>
        <w:rPr>
          <w:rFonts w:asciiTheme="majorHAnsi" w:hAnsiTheme="majorHAnsi"/>
        </w:rPr>
      </w:pPr>
      <w:r w:rsidRPr="002924D1">
        <w:rPr>
          <w:rFonts w:asciiTheme="majorHAnsi" w:hAnsiTheme="majorHAnsi"/>
        </w:rPr>
        <w:t xml:space="preserve"> Il retrace la première étape de la répartition primaire des revenus : la valeur ajoutée dégagée (solde du compte de production du secteur) est répartie dans un premier temps entre les participants directs à la production : </w:t>
      </w:r>
    </w:p>
    <w:p w:rsidR="00F93AB1" w:rsidRPr="002924D1" w:rsidRDefault="00F93AB1" w:rsidP="00F93AB1">
      <w:pPr>
        <w:pStyle w:val="ListParagraph"/>
        <w:numPr>
          <w:ilvl w:val="0"/>
          <w:numId w:val="5"/>
        </w:numPr>
        <w:jc w:val="both"/>
        <w:rPr>
          <w:rFonts w:asciiTheme="majorHAnsi" w:hAnsiTheme="majorHAnsi"/>
        </w:rPr>
      </w:pPr>
      <w:r w:rsidRPr="008827F2">
        <w:rPr>
          <w:rFonts w:asciiTheme="majorHAnsi" w:hAnsiTheme="majorHAnsi"/>
          <w:b/>
        </w:rPr>
        <w:t>Les salariés </w:t>
      </w:r>
      <w:r w:rsidRPr="002924D1">
        <w:rPr>
          <w:rFonts w:asciiTheme="majorHAnsi" w:hAnsiTheme="majorHAnsi"/>
        </w:rPr>
        <w:t xml:space="preserve">: la </w:t>
      </w:r>
      <w:r w:rsidRPr="002924D1">
        <w:rPr>
          <w:rFonts w:asciiTheme="majorHAnsi" w:hAnsiTheme="majorHAnsi"/>
          <w:b/>
          <w:i/>
        </w:rPr>
        <w:t>rémunération globale des salariés</w:t>
      </w:r>
      <w:r w:rsidRPr="002924D1">
        <w:rPr>
          <w:rFonts w:asciiTheme="majorHAnsi" w:hAnsiTheme="majorHAnsi"/>
        </w:rPr>
        <w:t xml:space="preserve"> comprend les salaires et traitements bruts et les cotisations sociales à la charge des employeurs</w:t>
      </w:r>
    </w:p>
    <w:p w:rsidR="00F93AB1" w:rsidRPr="002924D1" w:rsidRDefault="00F93AB1" w:rsidP="00F93AB1">
      <w:pPr>
        <w:pStyle w:val="ListParagraph"/>
        <w:numPr>
          <w:ilvl w:val="0"/>
          <w:numId w:val="5"/>
        </w:numPr>
        <w:jc w:val="both"/>
        <w:rPr>
          <w:rFonts w:asciiTheme="majorHAnsi" w:hAnsiTheme="majorHAnsi"/>
        </w:rPr>
      </w:pPr>
      <w:r w:rsidRPr="008827F2">
        <w:rPr>
          <w:rFonts w:asciiTheme="majorHAnsi" w:hAnsiTheme="majorHAnsi"/>
          <w:b/>
        </w:rPr>
        <w:t>L’Etat et les collectivités territoriales</w:t>
      </w:r>
      <w:r w:rsidRPr="002924D1">
        <w:rPr>
          <w:rFonts w:asciiTheme="majorHAnsi" w:hAnsiTheme="majorHAnsi"/>
        </w:rPr>
        <w:t xml:space="preserve"> : ils perçoivent les </w:t>
      </w:r>
      <w:r w:rsidRPr="002924D1">
        <w:rPr>
          <w:rFonts w:asciiTheme="majorHAnsi" w:hAnsiTheme="majorHAnsi"/>
          <w:b/>
          <w:i/>
        </w:rPr>
        <w:t>impôts liés à la production</w:t>
      </w:r>
      <w:r w:rsidRPr="002924D1">
        <w:rPr>
          <w:rFonts w:asciiTheme="majorHAnsi" w:hAnsiTheme="majorHAnsi"/>
        </w:rPr>
        <w:t xml:space="preserve">, contrepartie des services et des infrastructures qu’ils mettent à la disposition des entreprises et des producteurs. Ces impôts comprennent, pour l’essentiel, la taxe professionnelle, la taxe d’apprentissage, la taxe sur les salaires, la participation des employeurs au financement de la formation professionnelle continue, etc. En sont déduites les </w:t>
      </w:r>
      <w:r w:rsidRPr="002924D1">
        <w:rPr>
          <w:rFonts w:asciiTheme="majorHAnsi" w:hAnsiTheme="majorHAnsi"/>
          <w:b/>
          <w:i/>
        </w:rPr>
        <w:t>subventions d’exploitation</w:t>
      </w:r>
      <w:r w:rsidRPr="002924D1">
        <w:rPr>
          <w:rFonts w:asciiTheme="majorHAnsi" w:hAnsiTheme="majorHAnsi"/>
        </w:rPr>
        <w:t xml:space="preserve"> versées par les APU aux producteurs.</w:t>
      </w:r>
    </w:p>
    <w:p w:rsidR="00F93AB1" w:rsidRPr="002924D1" w:rsidRDefault="00F93AB1" w:rsidP="00F93AB1">
      <w:pPr>
        <w:pStyle w:val="ListParagraph"/>
        <w:ind w:left="1287"/>
        <w:jc w:val="both"/>
        <w:rPr>
          <w:rFonts w:asciiTheme="majorHAnsi" w:hAnsiTheme="majorHAnsi"/>
        </w:rPr>
      </w:pPr>
      <w:r w:rsidRPr="002924D1">
        <w:rPr>
          <w:rFonts w:asciiTheme="majorHAnsi" w:hAnsiTheme="majorHAnsi"/>
        </w:rPr>
        <w:t>Les impôts sur les produits (TVA, Taxe intérieure sur les produits pétroliers, taxes sur les alcools et les produits du tabac, droits de douane) et les subventions sur les produits sont comptabilisés de manière globale et à part dans les comptes de production et d’exploitation.</w:t>
      </w:r>
    </w:p>
    <w:p w:rsidR="00F93AB1" w:rsidRPr="002924D1" w:rsidRDefault="00F93AB1" w:rsidP="00F93AB1">
      <w:pPr>
        <w:pStyle w:val="ListParagraph"/>
        <w:numPr>
          <w:ilvl w:val="0"/>
          <w:numId w:val="5"/>
        </w:numPr>
        <w:jc w:val="both"/>
        <w:rPr>
          <w:rFonts w:asciiTheme="majorHAnsi" w:hAnsiTheme="majorHAnsi"/>
        </w:rPr>
      </w:pPr>
      <w:r w:rsidRPr="002924D1">
        <w:rPr>
          <w:rFonts w:asciiTheme="majorHAnsi" w:hAnsiTheme="majorHAnsi"/>
        </w:rPr>
        <w:t xml:space="preserve">La part de la valeur ajoutée qui reste au secteur, une fois les rémunérations salariales et les impôts liés à la production versés, constitue le solde de ce compte : </w:t>
      </w:r>
      <w:r w:rsidRPr="008827F2">
        <w:rPr>
          <w:rFonts w:asciiTheme="majorHAnsi" w:hAnsiTheme="majorHAnsi"/>
          <w:b/>
        </w:rPr>
        <w:t>l’excédent brut d’exploitation</w:t>
      </w:r>
      <w:r w:rsidRPr="002924D1">
        <w:rPr>
          <w:rFonts w:asciiTheme="majorHAnsi" w:hAnsiTheme="majorHAnsi"/>
        </w:rPr>
        <w:t>. Pour les entreprises individuelles, ce solde est appelé « </w:t>
      </w:r>
      <w:r w:rsidRPr="002924D1">
        <w:rPr>
          <w:rFonts w:asciiTheme="majorHAnsi" w:hAnsiTheme="majorHAnsi"/>
          <w:b/>
          <w:i/>
        </w:rPr>
        <w:t>revenu mixte </w:t>
      </w:r>
      <w:r w:rsidRPr="002924D1">
        <w:rPr>
          <w:rFonts w:asciiTheme="majorHAnsi" w:hAnsiTheme="majorHAnsi"/>
        </w:rPr>
        <w:t>» ; ce terme se justifie par le fait que ce solde incorpore aussi la rémunération du travail de l'entrepreneur individuel.</w:t>
      </w:r>
    </w:p>
    <w:p w:rsidR="00F93AB1" w:rsidRDefault="002924D1" w:rsidP="002924D1">
      <w:pPr>
        <w:pStyle w:val="ListParagraph"/>
        <w:ind w:left="0" w:firstLine="567"/>
        <w:rPr>
          <w:rFonts w:asciiTheme="majorHAnsi" w:hAnsiTheme="majorHAnsi"/>
        </w:rPr>
      </w:pPr>
      <w:r w:rsidRPr="002924D1">
        <w:rPr>
          <w:rFonts w:asciiTheme="majorHAnsi" w:hAnsiTheme="majorHAnsi"/>
        </w:rPr>
        <w:t>La structure de ce compte est identique pour tous les secteurs.</w:t>
      </w:r>
    </w:p>
    <w:p w:rsidR="002924D1" w:rsidRPr="002924D1" w:rsidRDefault="002924D1" w:rsidP="002924D1">
      <w:pPr>
        <w:pStyle w:val="ListParagraph"/>
        <w:ind w:left="0" w:firstLine="567"/>
        <w:rPr>
          <w:rFonts w:asciiTheme="majorHAnsi" w:hAnsiTheme="maj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54"/>
        <w:gridCol w:w="4855"/>
      </w:tblGrid>
      <w:tr w:rsidR="00F93AB1" w:rsidRPr="002924D1">
        <w:trPr>
          <w:cantSplit/>
        </w:trPr>
        <w:tc>
          <w:tcPr>
            <w:tcW w:w="9709" w:type="dxa"/>
            <w:gridSpan w:val="2"/>
            <w:tcBorders>
              <w:top w:val="double" w:sz="4" w:space="0" w:color="auto"/>
              <w:left w:val="double" w:sz="4" w:space="0" w:color="auto"/>
              <w:bottom w:val="double" w:sz="4" w:space="0" w:color="auto"/>
              <w:right w:val="double" w:sz="4" w:space="0" w:color="auto"/>
            </w:tcBorders>
          </w:tcPr>
          <w:p w:rsidR="00F93AB1" w:rsidRPr="002924D1" w:rsidRDefault="00F93AB1" w:rsidP="00F93AB1">
            <w:pPr>
              <w:pStyle w:val="Heading1"/>
              <w:rPr>
                <w:rFonts w:asciiTheme="majorHAnsi" w:hAnsiTheme="majorHAnsi"/>
                <w:sz w:val="18"/>
                <w:szCs w:val="18"/>
              </w:rPr>
            </w:pPr>
            <w:r w:rsidRPr="002924D1">
              <w:rPr>
                <w:rFonts w:asciiTheme="majorHAnsi" w:hAnsiTheme="majorHAnsi"/>
                <w:sz w:val="18"/>
                <w:szCs w:val="18"/>
              </w:rPr>
              <w:t>Compte d’exploitation</w:t>
            </w:r>
          </w:p>
        </w:tc>
      </w:tr>
      <w:tr w:rsidR="00F93AB1" w:rsidRPr="002924D1">
        <w:tc>
          <w:tcPr>
            <w:tcW w:w="4854" w:type="dxa"/>
            <w:tcBorders>
              <w:top w:val="double" w:sz="4" w:space="0" w:color="auto"/>
              <w:lef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Rémunérations des salariés                             </w:t>
            </w:r>
          </w:p>
        </w:tc>
        <w:tc>
          <w:tcPr>
            <w:tcW w:w="4855" w:type="dxa"/>
            <w:tcBorders>
              <w:top w:val="double" w:sz="4" w:space="0" w:color="auto"/>
              <w:righ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Valeur Ajoutée Brute                                                               </w:t>
            </w:r>
          </w:p>
        </w:tc>
      </w:tr>
      <w:tr w:rsidR="00F93AB1" w:rsidRPr="002924D1">
        <w:tc>
          <w:tcPr>
            <w:tcW w:w="4854" w:type="dxa"/>
            <w:tcBorders>
              <w:lef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Impôts sur la production                                   </w:t>
            </w:r>
          </w:p>
        </w:tc>
        <w:tc>
          <w:tcPr>
            <w:tcW w:w="4855" w:type="dxa"/>
            <w:tcBorders>
              <w:righ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p>
        </w:tc>
      </w:tr>
      <w:tr w:rsidR="00F93AB1" w:rsidRPr="002924D1">
        <w:tc>
          <w:tcPr>
            <w:tcW w:w="4854" w:type="dxa"/>
            <w:tcBorders>
              <w:lef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 Subventions d’exploitation                           </w:t>
            </w:r>
          </w:p>
        </w:tc>
        <w:tc>
          <w:tcPr>
            <w:tcW w:w="4855" w:type="dxa"/>
            <w:tcBorders>
              <w:righ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p>
        </w:tc>
      </w:tr>
      <w:tr w:rsidR="00F93AB1" w:rsidRPr="002924D1">
        <w:tc>
          <w:tcPr>
            <w:tcW w:w="4854" w:type="dxa"/>
            <w:tcBorders>
              <w:top w:val="thinThickSmallGap" w:sz="24" w:space="0" w:color="auto"/>
              <w:left w:val="thinThickSmallGap" w:sz="24" w:space="0" w:color="auto"/>
              <w:bottom w:val="thinThickSmallGap" w:sz="24" w:space="0" w:color="auto"/>
              <w:right w:val="thinThickSmallGap" w:sz="2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Solde : Excédent Brut d’Exploitation                                                   </w:t>
            </w:r>
          </w:p>
        </w:tc>
        <w:tc>
          <w:tcPr>
            <w:tcW w:w="4855" w:type="dxa"/>
            <w:tcBorders>
              <w:left w:val="nil"/>
              <w:bottom w:val="double" w:sz="4" w:space="0" w:color="auto"/>
              <w:righ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p>
        </w:tc>
      </w:tr>
    </w:tbl>
    <w:p w:rsidR="002924D1" w:rsidRPr="002924D1" w:rsidRDefault="002924D1" w:rsidP="00F93AB1">
      <w:pPr>
        <w:ind w:firstLine="567"/>
        <w:jc w:val="both"/>
        <w:rPr>
          <w:rFonts w:asciiTheme="majorHAnsi" w:hAnsiTheme="majorHAnsi"/>
          <w:bCs/>
        </w:rPr>
      </w:pPr>
    </w:p>
    <w:p w:rsidR="00F93AB1" w:rsidRDefault="00F93AB1" w:rsidP="002924D1">
      <w:pPr>
        <w:ind w:firstLine="567"/>
        <w:jc w:val="both"/>
        <w:rPr>
          <w:rFonts w:asciiTheme="majorHAnsi" w:hAnsiTheme="majorHAnsi"/>
          <w:b/>
          <w:bCs/>
        </w:rPr>
      </w:pPr>
      <w:r w:rsidRPr="002924D1">
        <w:rPr>
          <w:rFonts w:asciiTheme="majorHAnsi" w:hAnsiTheme="majorHAnsi"/>
          <w:b/>
          <w:bCs/>
        </w:rPr>
        <w:t>Troisième compte : Le compte d’affectation du revenu primaire.</w:t>
      </w:r>
    </w:p>
    <w:p w:rsidR="003A5186" w:rsidRPr="002924D1" w:rsidRDefault="003A5186" w:rsidP="002924D1">
      <w:pPr>
        <w:ind w:firstLine="567"/>
        <w:jc w:val="both"/>
        <w:rPr>
          <w:rFonts w:asciiTheme="majorHAnsi" w:hAnsiTheme="majorHAnsi"/>
          <w:b/>
          <w:bCs/>
        </w:rPr>
      </w:pPr>
    </w:p>
    <w:p w:rsidR="00F93AB1" w:rsidRPr="002924D1" w:rsidRDefault="00F93AB1" w:rsidP="00F93AB1">
      <w:pPr>
        <w:ind w:firstLine="567"/>
        <w:jc w:val="both"/>
        <w:rPr>
          <w:rFonts w:asciiTheme="majorHAnsi" w:hAnsiTheme="majorHAnsi"/>
          <w:bCs/>
        </w:rPr>
      </w:pPr>
      <w:r w:rsidRPr="002924D1">
        <w:rPr>
          <w:rFonts w:asciiTheme="majorHAnsi" w:hAnsiTheme="majorHAnsi"/>
          <w:bCs/>
        </w:rPr>
        <w:t xml:space="preserve">A l’excédent Brut d’exploitation du secteur s’ajoute </w:t>
      </w:r>
      <w:r w:rsidRPr="002924D1">
        <w:rPr>
          <w:rFonts w:asciiTheme="majorHAnsi" w:hAnsiTheme="majorHAnsi"/>
          <w:b/>
          <w:bCs/>
          <w:i/>
        </w:rPr>
        <w:t>en ressources</w:t>
      </w:r>
      <w:r w:rsidRPr="002924D1">
        <w:rPr>
          <w:rFonts w:asciiTheme="majorHAnsi" w:hAnsiTheme="majorHAnsi"/>
          <w:bCs/>
        </w:rPr>
        <w:t xml:space="preserve">, dans une deuxième étape, l’ensemble des revenus primaires perçus par le secteur dans l’étape précédente : les rémunérations salariales pour les ménages, les impôts liés à la production et les impôts sur les produits pour les APU (déduction faite des subventions d’exploitation ou sur les produits versées). </w:t>
      </w:r>
    </w:p>
    <w:p w:rsidR="00F93AB1" w:rsidRPr="002924D1" w:rsidRDefault="00F93AB1" w:rsidP="00F93AB1">
      <w:pPr>
        <w:ind w:firstLine="567"/>
        <w:jc w:val="both"/>
        <w:rPr>
          <w:rFonts w:asciiTheme="majorHAnsi" w:hAnsiTheme="majorHAnsi"/>
          <w:bCs/>
        </w:rPr>
      </w:pPr>
      <w:r w:rsidRPr="002924D1">
        <w:rPr>
          <w:rFonts w:asciiTheme="majorHAnsi" w:hAnsiTheme="majorHAnsi"/>
          <w:bCs/>
        </w:rPr>
        <w:t xml:space="preserve">Chaque secteur perçoit par ailleurs des </w:t>
      </w:r>
      <w:r w:rsidRPr="002924D1">
        <w:rPr>
          <w:rFonts w:asciiTheme="majorHAnsi" w:hAnsiTheme="majorHAnsi"/>
          <w:b/>
          <w:bCs/>
          <w:i/>
        </w:rPr>
        <w:t>revenus de la propriété</w:t>
      </w:r>
      <w:r w:rsidRPr="002924D1">
        <w:rPr>
          <w:rFonts w:asciiTheme="majorHAnsi" w:hAnsiTheme="majorHAnsi"/>
          <w:bCs/>
        </w:rPr>
        <w:t xml:space="preserve">, soit essentiellement : </w:t>
      </w:r>
    </w:p>
    <w:p w:rsidR="00F93AB1" w:rsidRPr="002924D1" w:rsidRDefault="008827F2" w:rsidP="00F93AB1">
      <w:pPr>
        <w:pStyle w:val="ListParagraph"/>
        <w:numPr>
          <w:ilvl w:val="0"/>
          <w:numId w:val="6"/>
        </w:numPr>
        <w:jc w:val="both"/>
        <w:rPr>
          <w:rFonts w:asciiTheme="majorHAnsi" w:hAnsiTheme="majorHAnsi"/>
          <w:bCs/>
        </w:rPr>
      </w:pPr>
      <w:r>
        <w:rPr>
          <w:rFonts w:asciiTheme="majorHAnsi" w:hAnsiTheme="majorHAnsi"/>
          <w:bCs/>
        </w:rPr>
        <w:t xml:space="preserve">Des </w:t>
      </w:r>
      <w:r w:rsidR="00F93AB1" w:rsidRPr="002924D1">
        <w:rPr>
          <w:rFonts w:asciiTheme="majorHAnsi" w:hAnsiTheme="majorHAnsi"/>
          <w:bCs/>
        </w:rPr>
        <w:t>intérêts sur les prêts accordés à d’autres secteurs, ou sur les dépôts et placements effectués par les agents du secteur ;</w:t>
      </w:r>
    </w:p>
    <w:p w:rsidR="00F93AB1" w:rsidRPr="002924D1" w:rsidRDefault="008827F2" w:rsidP="00F93AB1">
      <w:pPr>
        <w:pStyle w:val="ListParagraph"/>
        <w:numPr>
          <w:ilvl w:val="0"/>
          <w:numId w:val="6"/>
        </w:numPr>
        <w:jc w:val="both"/>
        <w:rPr>
          <w:rFonts w:asciiTheme="majorHAnsi" w:hAnsiTheme="majorHAnsi"/>
          <w:bCs/>
        </w:rPr>
      </w:pPr>
      <w:r>
        <w:rPr>
          <w:rFonts w:asciiTheme="majorHAnsi" w:hAnsiTheme="majorHAnsi"/>
          <w:bCs/>
        </w:rPr>
        <w:t xml:space="preserve">Des </w:t>
      </w:r>
      <w:r w:rsidR="00F93AB1" w:rsidRPr="002924D1">
        <w:rPr>
          <w:rFonts w:asciiTheme="majorHAnsi" w:hAnsiTheme="majorHAnsi"/>
          <w:bCs/>
        </w:rPr>
        <w:t>dividendes et autres revenus distribués des sociétés, p</w:t>
      </w:r>
      <w:r w:rsidR="002924D1">
        <w:rPr>
          <w:rFonts w:asciiTheme="majorHAnsi" w:hAnsiTheme="majorHAnsi"/>
          <w:bCs/>
        </w:rPr>
        <w:t xml:space="preserve">erçus par </w:t>
      </w:r>
      <w:r w:rsidR="00F93AB1" w:rsidRPr="002924D1">
        <w:rPr>
          <w:rFonts w:asciiTheme="majorHAnsi" w:hAnsiTheme="majorHAnsi"/>
          <w:bCs/>
        </w:rPr>
        <w:t>les actionnaires et propriétaire</w:t>
      </w:r>
      <w:r w:rsidR="002924D1">
        <w:rPr>
          <w:rFonts w:asciiTheme="majorHAnsi" w:hAnsiTheme="majorHAnsi"/>
          <w:bCs/>
        </w:rPr>
        <w:t xml:space="preserve">s  des sociétés (qui peuvent être </w:t>
      </w:r>
      <w:r>
        <w:rPr>
          <w:rFonts w:asciiTheme="majorHAnsi" w:hAnsiTheme="majorHAnsi"/>
          <w:bCs/>
        </w:rPr>
        <w:t xml:space="preserve">des ménages, des APU ou </w:t>
      </w:r>
      <w:r w:rsidR="002924D1">
        <w:rPr>
          <w:rFonts w:asciiTheme="majorHAnsi" w:hAnsiTheme="majorHAnsi"/>
          <w:bCs/>
        </w:rPr>
        <w:t>d’autres sociétés).</w:t>
      </w:r>
    </w:p>
    <w:p w:rsidR="00F93AB1" w:rsidRPr="002924D1" w:rsidRDefault="00F93AB1" w:rsidP="00F93AB1">
      <w:pPr>
        <w:ind w:firstLine="567"/>
        <w:jc w:val="both"/>
        <w:rPr>
          <w:rFonts w:asciiTheme="majorHAnsi" w:hAnsiTheme="majorHAnsi"/>
          <w:bCs/>
        </w:rPr>
      </w:pPr>
    </w:p>
    <w:p w:rsidR="00F93AB1" w:rsidRPr="002924D1" w:rsidRDefault="00F93AB1" w:rsidP="00F93AB1">
      <w:pPr>
        <w:ind w:firstLine="567"/>
        <w:jc w:val="both"/>
        <w:rPr>
          <w:rFonts w:asciiTheme="majorHAnsi" w:hAnsiTheme="majorHAnsi"/>
          <w:bCs/>
        </w:rPr>
      </w:pPr>
      <w:r w:rsidRPr="002924D1">
        <w:rPr>
          <w:rFonts w:asciiTheme="majorHAnsi" w:hAnsiTheme="majorHAnsi"/>
          <w:bCs/>
        </w:rPr>
        <w:t>Ces ressources sont consacrées (</w:t>
      </w:r>
      <w:r w:rsidRPr="002924D1">
        <w:rPr>
          <w:rFonts w:asciiTheme="majorHAnsi" w:hAnsiTheme="majorHAnsi"/>
          <w:b/>
          <w:bCs/>
          <w:i/>
        </w:rPr>
        <w:t>en emplois</w:t>
      </w:r>
      <w:r w:rsidRPr="002924D1">
        <w:rPr>
          <w:rFonts w:asciiTheme="majorHAnsi" w:hAnsiTheme="majorHAnsi"/>
          <w:bCs/>
        </w:rPr>
        <w:t xml:space="preserve">) à la rémunération des apporteurs de capitaux du secteur, également sous forme de revenus de la propriété, versés aux autres secteurs, soit essentiellement : </w:t>
      </w:r>
    </w:p>
    <w:p w:rsidR="00F93AB1" w:rsidRPr="002924D1" w:rsidRDefault="008827F2" w:rsidP="00F93AB1">
      <w:pPr>
        <w:pStyle w:val="ListParagraph"/>
        <w:numPr>
          <w:ilvl w:val="0"/>
          <w:numId w:val="7"/>
        </w:numPr>
        <w:jc w:val="both"/>
        <w:rPr>
          <w:rFonts w:asciiTheme="majorHAnsi" w:hAnsiTheme="majorHAnsi"/>
          <w:bCs/>
        </w:rPr>
      </w:pPr>
      <w:r>
        <w:rPr>
          <w:rFonts w:asciiTheme="majorHAnsi" w:hAnsiTheme="majorHAnsi"/>
          <w:bCs/>
        </w:rPr>
        <w:t xml:space="preserve">Des </w:t>
      </w:r>
      <w:r w:rsidR="00F93AB1" w:rsidRPr="002924D1">
        <w:rPr>
          <w:rFonts w:asciiTheme="majorHAnsi" w:hAnsiTheme="majorHAnsi"/>
          <w:bCs/>
        </w:rPr>
        <w:t>intérêts sur les emprunts contractés par le secteur, et, pour les institutions de crédit, sur les dépôts et placements effectués par leurs clients ;</w:t>
      </w:r>
    </w:p>
    <w:p w:rsidR="00F93AB1" w:rsidRPr="003A5186" w:rsidRDefault="00F93AB1" w:rsidP="002924D1">
      <w:pPr>
        <w:pStyle w:val="ListParagraph"/>
        <w:numPr>
          <w:ilvl w:val="0"/>
          <w:numId w:val="7"/>
        </w:numPr>
        <w:jc w:val="both"/>
        <w:rPr>
          <w:rFonts w:asciiTheme="majorHAnsi" w:hAnsiTheme="majorHAnsi"/>
          <w:bCs/>
        </w:rPr>
      </w:pPr>
      <w:r w:rsidRPr="002924D1">
        <w:rPr>
          <w:rFonts w:asciiTheme="majorHAnsi" w:hAnsiTheme="majorHAnsi"/>
          <w:bCs/>
        </w:rPr>
        <w:t>D</w:t>
      </w:r>
      <w:r w:rsidR="008827F2">
        <w:rPr>
          <w:rFonts w:asciiTheme="majorHAnsi" w:hAnsiTheme="majorHAnsi"/>
          <w:bCs/>
        </w:rPr>
        <w:t>es d</w:t>
      </w:r>
      <w:r w:rsidRPr="002924D1">
        <w:rPr>
          <w:rFonts w:asciiTheme="majorHAnsi" w:hAnsiTheme="majorHAnsi"/>
          <w:bCs/>
        </w:rPr>
        <w:t>ividende</w:t>
      </w:r>
      <w:r w:rsidR="008827F2">
        <w:rPr>
          <w:rFonts w:asciiTheme="majorHAnsi" w:hAnsiTheme="majorHAnsi"/>
          <w:bCs/>
        </w:rPr>
        <w:t>s et autres revenus distribués par l</w:t>
      </w:r>
      <w:r w:rsidRPr="002924D1">
        <w:rPr>
          <w:rFonts w:asciiTheme="majorHAnsi" w:hAnsiTheme="majorHAnsi"/>
          <w:bCs/>
        </w:rPr>
        <w:t>es sociétés à leurs actionnaires et propriétaires.</w:t>
      </w:r>
    </w:p>
    <w:p w:rsidR="003A5186" w:rsidRDefault="003A5186" w:rsidP="00F93AB1">
      <w:pPr>
        <w:ind w:firstLine="567"/>
        <w:jc w:val="both"/>
        <w:rPr>
          <w:rFonts w:asciiTheme="majorHAnsi" w:hAnsiTheme="majorHAnsi"/>
          <w:bCs/>
        </w:rPr>
      </w:pPr>
    </w:p>
    <w:p w:rsidR="00F93AB1" w:rsidRPr="002924D1" w:rsidRDefault="00F93AB1" w:rsidP="00F93AB1">
      <w:pPr>
        <w:ind w:firstLine="567"/>
        <w:jc w:val="both"/>
        <w:rPr>
          <w:rFonts w:asciiTheme="majorHAnsi" w:hAnsiTheme="majorHAnsi"/>
          <w:bCs/>
        </w:rPr>
      </w:pPr>
      <w:r w:rsidRPr="002924D1">
        <w:rPr>
          <w:rFonts w:asciiTheme="majorHAnsi" w:hAnsiTheme="majorHAnsi"/>
          <w:bCs/>
        </w:rPr>
        <w:t>Le solde de ce compte est nommé « </w:t>
      </w:r>
      <w:r w:rsidRPr="008827F2">
        <w:rPr>
          <w:rFonts w:asciiTheme="majorHAnsi" w:hAnsiTheme="majorHAnsi"/>
          <w:b/>
          <w:bCs/>
        </w:rPr>
        <w:t>solde brut des revenus primaires</w:t>
      </w:r>
      <w:r w:rsidRPr="002924D1">
        <w:rPr>
          <w:rFonts w:asciiTheme="majorHAnsi" w:hAnsiTheme="majorHAnsi"/>
          <w:bCs/>
        </w:rPr>
        <w:t> ».</w:t>
      </w:r>
    </w:p>
    <w:p w:rsidR="00F93AB1" w:rsidRPr="002924D1" w:rsidRDefault="00F93AB1" w:rsidP="00F93AB1">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54"/>
        <w:gridCol w:w="4855"/>
      </w:tblGrid>
      <w:tr w:rsidR="00F93AB1" w:rsidRPr="002924D1">
        <w:trPr>
          <w:cantSplit/>
        </w:trPr>
        <w:tc>
          <w:tcPr>
            <w:tcW w:w="9709" w:type="dxa"/>
            <w:gridSpan w:val="2"/>
            <w:tcBorders>
              <w:top w:val="double" w:sz="4" w:space="0" w:color="auto"/>
              <w:left w:val="double" w:sz="4" w:space="0" w:color="auto"/>
              <w:bottom w:val="double" w:sz="4" w:space="0" w:color="auto"/>
              <w:right w:val="double" w:sz="4" w:space="0" w:color="auto"/>
            </w:tcBorders>
          </w:tcPr>
          <w:p w:rsidR="00F93AB1" w:rsidRPr="002924D1" w:rsidRDefault="00F93AB1" w:rsidP="00F93AB1">
            <w:pPr>
              <w:pStyle w:val="Heading1"/>
              <w:rPr>
                <w:rFonts w:asciiTheme="majorHAnsi" w:hAnsiTheme="majorHAnsi"/>
                <w:sz w:val="18"/>
                <w:szCs w:val="18"/>
              </w:rPr>
            </w:pPr>
            <w:r w:rsidRPr="002924D1">
              <w:rPr>
                <w:rFonts w:asciiTheme="majorHAnsi" w:hAnsiTheme="majorHAnsi"/>
                <w:sz w:val="18"/>
                <w:szCs w:val="18"/>
              </w:rPr>
              <w:t>Compte d’affectation des revenus primaires</w:t>
            </w:r>
          </w:p>
        </w:tc>
      </w:tr>
      <w:tr w:rsidR="00F93AB1" w:rsidRPr="002924D1">
        <w:tc>
          <w:tcPr>
            <w:tcW w:w="4854" w:type="dxa"/>
            <w:tcBorders>
              <w:top w:val="double" w:sz="4" w:space="0" w:color="auto"/>
              <w:lef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p>
        </w:tc>
        <w:tc>
          <w:tcPr>
            <w:tcW w:w="4855" w:type="dxa"/>
            <w:tcBorders>
              <w:top w:val="double" w:sz="4" w:space="0" w:color="auto"/>
              <w:righ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Excédent Brut d’Exploitation                                                               </w:t>
            </w:r>
          </w:p>
        </w:tc>
      </w:tr>
      <w:tr w:rsidR="00F93AB1" w:rsidRPr="002924D1">
        <w:tc>
          <w:tcPr>
            <w:tcW w:w="4854" w:type="dxa"/>
            <w:tcBorders>
              <w:top w:val="double" w:sz="4" w:space="0" w:color="auto"/>
              <w:lef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p>
        </w:tc>
        <w:tc>
          <w:tcPr>
            <w:tcW w:w="4855" w:type="dxa"/>
            <w:tcBorders>
              <w:top w:val="double" w:sz="4" w:space="0" w:color="auto"/>
              <w:righ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Autres revenus primaires perçus</w:t>
            </w:r>
          </w:p>
        </w:tc>
      </w:tr>
      <w:tr w:rsidR="00F93AB1" w:rsidRPr="002924D1">
        <w:tc>
          <w:tcPr>
            <w:tcW w:w="4854" w:type="dxa"/>
            <w:tcBorders>
              <w:top w:val="double" w:sz="4" w:space="0" w:color="auto"/>
              <w:lef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Revenus de la propriété versés : </w:t>
            </w:r>
          </w:p>
        </w:tc>
        <w:tc>
          <w:tcPr>
            <w:tcW w:w="4855" w:type="dxa"/>
            <w:tcBorders>
              <w:top w:val="double" w:sz="4" w:space="0" w:color="auto"/>
              <w:righ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Revenus de la propriété perçus :</w:t>
            </w:r>
          </w:p>
        </w:tc>
      </w:tr>
      <w:tr w:rsidR="00F93AB1" w:rsidRPr="002924D1">
        <w:tc>
          <w:tcPr>
            <w:tcW w:w="4854" w:type="dxa"/>
            <w:tcBorders>
              <w:left w:val="double" w:sz="4" w:space="0" w:color="auto"/>
            </w:tcBorders>
          </w:tcPr>
          <w:p w:rsidR="00F93AB1" w:rsidRPr="002924D1" w:rsidRDefault="00F93AB1" w:rsidP="00F93AB1">
            <w:pPr>
              <w:pStyle w:val="FootnoteText"/>
              <w:numPr>
                <w:ilvl w:val="0"/>
                <w:numId w:val="9"/>
              </w:numPr>
              <w:tabs>
                <w:tab w:val="right" w:pos="4536"/>
              </w:tabs>
              <w:rPr>
                <w:rFonts w:asciiTheme="majorHAnsi" w:hAnsiTheme="majorHAnsi"/>
                <w:sz w:val="18"/>
                <w:szCs w:val="18"/>
              </w:rPr>
            </w:pPr>
            <w:r w:rsidRPr="002924D1">
              <w:rPr>
                <w:rFonts w:asciiTheme="majorHAnsi" w:hAnsiTheme="majorHAnsi"/>
                <w:sz w:val="18"/>
                <w:szCs w:val="18"/>
              </w:rPr>
              <w:t xml:space="preserve">Intérêts versés                                               </w:t>
            </w:r>
          </w:p>
        </w:tc>
        <w:tc>
          <w:tcPr>
            <w:tcW w:w="4855" w:type="dxa"/>
            <w:tcBorders>
              <w:right w:val="double" w:sz="4" w:space="0" w:color="auto"/>
            </w:tcBorders>
          </w:tcPr>
          <w:p w:rsidR="00F93AB1" w:rsidRPr="002924D1" w:rsidRDefault="00F93AB1" w:rsidP="00F93AB1">
            <w:pPr>
              <w:pStyle w:val="FootnoteText"/>
              <w:numPr>
                <w:ilvl w:val="0"/>
                <w:numId w:val="8"/>
              </w:numPr>
              <w:tabs>
                <w:tab w:val="right" w:pos="4536"/>
              </w:tabs>
              <w:rPr>
                <w:rFonts w:asciiTheme="majorHAnsi" w:hAnsiTheme="majorHAnsi"/>
                <w:sz w:val="18"/>
                <w:szCs w:val="18"/>
              </w:rPr>
            </w:pPr>
            <w:r w:rsidRPr="002924D1">
              <w:rPr>
                <w:rFonts w:asciiTheme="majorHAnsi" w:hAnsiTheme="majorHAnsi"/>
                <w:sz w:val="18"/>
                <w:szCs w:val="18"/>
              </w:rPr>
              <w:t xml:space="preserve">Intérêts perçus                                                </w:t>
            </w:r>
          </w:p>
        </w:tc>
      </w:tr>
      <w:tr w:rsidR="00F93AB1" w:rsidRPr="002924D1">
        <w:tc>
          <w:tcPr>
            <w:tcW w:w="4854" w:type="dxa"/>
            <w:tcBorders>
              <w:left w:val="double" w:sz="4" w:space="0" w:color="auto"/>
            </w:tcBorders>
          </w:tcPr>
          <w:p w:rsidR="00F93AB1" w:rsidRPr="002924D1" w:rsidRDefault="00F93AB1" w:rsidP="00F93AB1">
            <w:pPr>
              <w:pStyle w:val="FootnoteText"/>
              <w:numPr>
                <w:ilvl w:val="0"/>
                <w:numId w:val="8"/>
              </w:numPr>
              <w:tabs>
                <w:tab w:val="right" w:pos="4536"/>
              </w:tabs>
              <w:rPr>
                <w:rFonts w:asciiTheme="majorHAnsi" w:hAnsiTheme="majorHAnsi"/>
                <w:sz w:val="18"/>
                <w:szCs w:val="18"/>
              </w:rPr>
            </w:pPr>
            <w:r w:rsidRPr="002924D1">
              <w:rPr>
                <w:rFonts w:asciiTheme="majorHAnsi" w:hAnsiTheme="majorHAnsi"/>
                <w:sz w:val="18"/>
                <w:szCs w:val="18"/>
              </w:rPr>
              <w:t xml:space="preserve">Revenus distribués des sociétés versés            </w:t>
            </w:r>
          </w:p>
        </w:tc>
        <w:tc>
          <w:tcPr>
            <w:tcW w:w="4855" w:type="dxa"/>
            <w:tcBorders>
              <w:right w:val="double" w:sz="4" w:space="0" w:color="auto"/>
            </w:tcBorders>
          </w:tcPr>
          <w:p w:rsidR="00F93AB1" w:rsidRPr="002924D1" w:rsidRDefault="00F93AB1" w:rsidP="00F93AB1">
            <w:pPr>
              <w:pStyle w:val="FootnoteText"/>
              <w:numPr>
                <w:ilvl w:val="0"/>
                <w:numId w:val="8"/>
              </w:numPr>
              <w:tabs>
                <w:tab w:val="right" w:pos="4536"/>
              </w:tabs>
              <w:rPr>
                <w:rFonts w:asciiTheme="majorHAnsi" w:hAnsiTheme="majorHAnsi"/>
                <w:sz w:val="18"/>
                <w:szCs w:val="18"/>
              </w:rPr>
            </w:pPr>
            <w:r w:rsidRPr="002924D1">
              <w:rPr>
                <w:rFonts w:asciiTheme="majorHAnsi" w:hAnsiTheme="majorHAnsi"/>
                <w:sz w:val="18"/>
                <w:szCs w:val="18"/>
              </w:rPr>
              <w:t xml:space="preserve">Revenus distribués des sociétés perçus           </w:t>
            </w:r>
          </w:p>
        </w:tc>
      </w:tr>
      <w:tr w:rsidR="00F93AB1" w:rsidRPr="002924D1">
        <w:tc>
          <w:tcPr>
            <w:tcW w:w="4854" w:type="dxa"/>
            <w:tcBorders>
              <w:left w:val="double" w:sz="4" w:space="0" w:color="auto"/>
            </w:tcBorders>
          </w:tcPr>
          <w:p w:rsidR="00F93AB1" w:rsidRPr="002924D1" w:rsidRDefault="00F93AB1" w:rsidP="00F93AB1">
            <w:pPr>
              <w:pStyle w:val="FootnoteText"/>
              <w:numPr>
                <w:ilvl w:val="0"/>
                <w:numId w:val="8"/>
              </w:numPr>
              <w:tabs>
                <w:tab w:val="right" w:pos="4536"/>
              </w:tabs>
              <w:rPr>
                <w:rFonts w:asciiTheme="majorHAnsi" w:hAnsiTheme="majorHAnsi"/>
                <w:sz w:val="18"/>
                <w:szCs w:val="18"/>
              </w:rPr>
            </w:pPr>
            <w:r w:rsidRPr="002924D1">
              <w:rPr>
                <w:rFonts w:asciiTheme="majorHAnsi" w:hAnsiTheme="majorHAnsi"/>
                <w:sz w:val="18"/>
                <w:szCs w:val="18"/>
              </w:rPr>
              <w:t xml:space="preserve">Autres revenus de la propriété versés                </w:t>
            </w:r>
          </w:p>
        </w:tc>
        <w:tc>
          <w:tcPr>
            <w:tcW w:w="4855" w:type="dxa"/>
            <w:tcBorders>
              <w:right w:val="double" w:sz="4" w:space="0" w:color="auto"/>
            </w:tcBorders>
          </w:tcPr>
          <w:p w:rsidR="00F93AB1" w:rsidRPr="002924D1" w:rsidRDefault="00F93AB1" w:rsidP="00F93AB1">
            <w:pPr>
              <w:pStyle w:val="FootnoteText"/>
              <w:numPr>
                <w:ilvl w:val="0"/>
                <w:numId w:val="8"/>
              </w:numPr>
              <w:tabs>
                <w:tab w:val="right" w:pos="4536"/>
              </w:tabs>
              <w:rPr>
                <w:rFonts w:asciiTheme="majorHAnsi" w:hAnsiTheme="majorHAnsi"/>
                <w:sz w:val="18"/>
                <w:szCs w:val="18"/>
              </w:rPr>
            </w:pPr>
            <w:r w:rsidRPr="002924D1">
              <w:rPr>
                <w:rFonts w:asciiTheme="majorHAnsi" w:hAnsiTheme="majorHAnsi"/>
                <w:sz w:val="18"/>
                <w:szCs w:val="18"/>
              </w:rPr>
              <w:t xml:space="preserve">Autres revenus de la propriété perçus              </w:t>
            </w:r>
          </w:p>
        </w:tc>
      </w:tr>
      <w:tr w:rsidR="00F93AB1" w:rsidRPr="002924D1">
        <w:tc>
          <w:tcPr>
            <w:tcW w:w="4854" w:type="dxa"/>
            <w:tcBorders>
              <w:top w:val="thinThickSmallGap" w:sz="24" w:space="0" w:color="auto"/>
              <w:left w:val="thinThickSmallGap" w:sz="24" w:space="0" w:color="auto"/>
              <w:bottom w:val="thinThickSmallGap" w:sz="24" w:space="0" w:color="auto"/>
              <w:right w:val="thinThickSmallGap" w:sz="2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Solde : Solde Brut des Revenus Primaires (SBRP)                                                </w:t>
            </w:r>
          </w:p>
        </w:tc>
        <w:tc>
          <w:tcPr>
            <w:tcW w:w="4855" w:type="dxa"/>
            <w:tcBorders>
              <w:left w:val="nil"/>
              <w:bottom w:val="single" w:sz="4" w:space="0" w:color="auto"/>
              <w:righ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p>
        </w:tc>
      </w:tr>
    </w:tbl>
    <w:p w:rsidR="00F93AB1" w:rsidRDefault="00F93AB1" w:rsidP="00F93AB1">
      <w:pPr>
        <w:ind w:firstLine="709"/>
        <w:jc w:val="both"/>
        <w:rPr>
          <w:rFonts w:asciiTheme="majorHAnsi" w:hAnsiTheme="majorHAnsi"/>
        </w:rPr>
      </w:pPr>
    </w:p>
    <w:p w:rsidR="003A5186" w:rsidRPr="002924D1" w:rsidRDefault="003A5186" w:rsidP="00F93AB1">
      <w:pPr>
        <w:ind w:firstLine="709"/>
        <w:jc w:val="both"/>
        <w:rPr>
          <w:rFonts w:asciiTheme="majorHAnsi" w:hAnsiTheme="majorHAnsi"/>
        </w:rPr>
      </w:pPr>
    </w:p>
    <w:p w:rsidR="00F93AB1" w:rsidRDefault="00F93AB1" w:rsidP="003A5186">
      <w:pPr>
        <w:ind w:firstLine="567"/>
        <w:jc w:val="both"/>
        <w:rPr>
          <w:rFonts w:asciiTheme="majorHAnsi" w:hAnsiTheme="majorHAnsi"/>
          <w:b/>
          <w:bCs/>
        </w:rPr>
      </w:pPr>
      <w:r w:rsidRPr="002924D1">
        <w:rPr>
          <w:rFonts w:asciiTheme="majorHAnsi" w:hAnsiTheme="majorHAnsi"/>
          <w:b/>
          <w:bCs/>
        </w:rPr>
        <w:t>Quatrième compte : Le compte de distribution secondaire du revenu.</w:t>
      </w:r>
    </w:p>
    <w:p w:rsidR="003A5186" w:rsidRPr="002924D1" w:rsidRDefault="003A5186" w:rsidP="003A5186">
      <w:pPr>
        <w:ind w:firstLine="567"/>
        <w:jc w:val="both"/>
        <w:rPr>
          <w:rFonts w:asciiTheme="majorHAnsi" w:hAnsiTheme="majorHAnsi"/>
          <w:b/>
          <w:bCs/>
        </w:rPr>
      </w:pPr>
    </w:p>
    <w:p w:rsidR="00F93AB1" w:rsidRPr="002924D1" w:rsidRDefault="00F93AB1" w:rsidP="00F93AB1">
      <w:pPr>
        <w:ind w:firstLine="567"/>
        <w:jc w:val="both"/>
        <w:rPr>
          <w:rFonts w:asciiTheme="majorHAnsi" w:hAnsiTheme="majorHAnsi"/>
          <w:bCs/>
        </w:rPr>
      </w:pPr>
      <w:r w:rsidRPr="002924D1">
        <w:rPr>
          <w:rFonts w:asciiTheme="majorHAnsi" w:hAnsiTheme="majorHAnsi"/>
          <w:bCs/>
        </w:rPr>
        <w:t>Il permet de bien distinguer la formation des revenus</w:t>
      </w:r>
      <w:r w:rsidR="003A5186">
        <w:rPr>
          <w:rFonts w:asciiTheme="majorHAnsi" w:hAnsiTheme="majorHAnsi"/>
          <w:bCs/>
        </w:rPr>
        <w:t xml:space="preserve"> primaires</w:t>
      </w:r>
      <w:r w:rsidRPr="002924D1">
        <w:rPr>
          <w:rFonts w:asciiTheme="majorHAnsi" w:hAnsiTheme="majorHAnsi"/>
          <w:bCs/>
        </w:rPr>
        <w:t xml:space="preserve"> (répartition primaire, enregistrée en compte d’exploitation et compte d’affectation des revenus primaires) de la répartition secondaire ou redistribution.</w:t>
      </w:r>
    </w:p>
    <w:p w:rsidR="00F93AB1" w:rsidRPr="002924D1" w:rsidRDefault="00F93AB1" w:rsidP="00F93AB1">
      <w:pPr>
        <w:ind w:firstLine="567"/>
        <w:jc w:val="both"/>
        <w:rPr>
          <w:rFonts w:asciiTheme="majorHAnsi" w:hAnsiTheme="majorHAnsi"/>
          <w:bCs/>
        </w:rPr>
      </w:pPr>
      <w:r w:rsidRPr="002924D1">
        <w:rPr>
          <w:rFonts w:asciiTheme="majorHAnsi" w:hAnsiTheme="majorHAnsi"/>
          <w:bCs/>
        </w:rPr>
        <w:t>Les opérations de distribution secondaire du revenu concernent essentiellement :</w:t>
      </w:r>
    </w:p>
    <w:p w:rsidR="00F93AB1" w:rsidRPr="002924D1" w:rsidRDefault="00F93AB1" w:rsidP="00F93AB1">
      <w:pPr>
        <w:pStyle w:val="ListParagraph"/>
        <w:numPr>
          <w:ilvl w:val="0"/>
          <w:numId w:val="10"/>
        </w:numPr>
        <w:jc w:val="both"/>
        <w:rPr>
          <w:rFonts w:asciiTheme="majorHAnsi" w:hAnsiTheme="majorHAnsi"/>
          <w:bCs/>
        </w:rPr>
      </w:pPr>
      <w:r w:rsidRPr="002924D1">
        <w:rPr>
          <w:rFonts w:asciiTheme="majorHAnsi" w:hAnsiTheme="majorHAnsi"/>
          <w:bCs/>
        </w:rPr>
        <w:t>L</w:t>
      </w:r>
      <w:r w:rsidR="003A5186">
        <w:rPr>
          <w:rFonts w:asciiTheme="majorHAnsi" w:hAnsiTheme="majorHAnsi"/>
          <w:bCs/>
        </w:rPr>
        <w:t xml:space="preserve">e versement par </w:t>
      </w:r>
      <w:r w:rsidR="003A5186" w:rsidRPr="002924D1">
        <w:rPr>
          <w:rFonts w:asciiTheme="majorHAnsi" w:hAnsiTheme="majorHAnsi"/>
          <w:bCs/>
        </w:rPr>
        <w:t xml:space="preserve">les agents économiques aux APU </w:t>
      </w:r>
      <w:r w:rsidR="003A5186">
        <w:rPr>
          <w:rFonts w:asciiTheme="majorHAnsi" w:hAnsiTheme="majorHAnsi"/>
          <w:bCs/>
        </w:rPr>
        <w:t>d</w:t>
      </w:r>
      <w:r w:rsidRPr="002924D1">
        <w:rPr>
          <w:rFonts w:asciiTheme="majorHAnsi" w:hAnsiTheme="majorHAnsi"/>
          <w:bCs/>
        </w:rPr>
        <w:t xml:space="preserve">es </w:t>
      </w:r>
      <w:r w:rsidRPr="002924D1">
        <w:rPr>
          <w:rFonts w:asciiTheme="majorHAnsi" w:hAnsiTheme="majorHAnsi"/>
          <w:b/>
          <w:bCs/>
          <w:i/>
        </w:rPr>
        <w:t>impôts courants sur le revenu et le patrimoine</w:t>
      </w:r>
      <w:r w:rsidRPr="002924D1">
        <w:rPr>
          <w:rFonts w:asciiTheme="majorHAnsi" w:hAnsiTheme="majorHAnsi"/>
          <w:bCs/>
        </w:rPr>
        <w:t xml:space="preserve"> (emplois pour tous les secteurs, sauf pour les APU pour lesquelles ils constituent une ressource). Il s’agit de transferts sans contrepartie directe.</w:t>
      </w:r>
    </w:p>
    <w:p w:rsidR="00F93AB1" w:rsidRPr="002924D1" w:rsidRDefault="00F93AB1" w:rsidP="00F93AB1">
      <w:pPr>
        <w:pStyle w:val="ListParagraph"/>
        <w:numPr>
          <w:ilvl w:val="0"/>
          <w:numId w:val="10"/>
        </w:numPr>
        <w:jc w:val="both"/>
        <w:rPr>
          <w:rFonts w:asciiTheme="majorHAnsi" w:hAnsiTheme="majorHAnsi"/>
          <w:bCs/>
        </w:rPr>
      </w:pPr>
      <w:r w:rsidRPr="002924D1">
        <w:rPr>
          <w:rFonts w:asciiTheme="majorHAnsi" w:hAnsiTheme="majorHAnsi"/>
          <w:bCs/>
        </w:rPr>
        <w:t xml:space="preserve">Le versement par les ménages (emplois) des </w:t>
      </w:r>
      <w:r w:rsidRPr="002924D1">
        <w:rPr>
          <w:rFonts w:asciiTheme="majorHAnsi" w:hAnsiTheme="majorHAnsi"/>
          <w:b/>
          <w:bCs/>
          <w:i/>
        </w:rPr>
        <w:t>cotisations sociales</w:t>
      </w:r>
      <w:r w:rsidRPr="002924D1">
        <w:rPr>
          <w:rFonts w:asciiTheme="majorHAnsi" w:hAnsiTheme="majorHAnsi"/>
          <w:bCs/>
        </w:rPr>
        <w:t xml:space="preserve"> à la charge des salariés et des employeurs. Pour des raisons de logique comptable, on considère que les ménages perçoivent l’intégralité des rémunérations salariales, cotisations comprises, et qu’ils reversent l’ensemble de ces cotisations aux APU, et, très marginalement, aux sociétés qui gèrent leur propre régime de sécurité sociale. Ces cotisations constituent donc une ressource pour les APU et ces sociétés.</w:t>
      </w:r>
    </w:p>
    <w:p w:rsidR="00F93AB1" w:rsidRPr="002924D1" w:rsidRDefault="00F93AB1" w:rsidP="00F93AB1">
      <w:pPr>
        <w:pStyle w:val="ListParagraph"/>
        <w:ind w:left="1287"/>
        <w:jc w:val="both"/>
        <w:rPr>
          <w:rFonts w:asciiTheme="majorHAnsi" w:hAnsiTheme="majorHAnsi"/>
          <w:bCs/>
        </w:rPr>
      </w:pPr>
      <w:r w:rsidRPr="002924D1">
        <w:rPr>
          <w:rFonts w:asciiTheme="majorHAnsi" w:hAnsiTheme="majorHAnsi"/>
          <w:bCs/>
        </w:rPr>
        <w:t xml:space="preserve">En contrepartie, ces dernières versent aux ménages les </w:t>
      </w:r>
      <w:r w:rsidRPr="002924D1">
        <w:rPr>
          <w:rFonts w:asciiTheme="majorHAnsi" w:hAnsiTheme="majorHAnsi"/>
          <w:b/>
          <w:bCs/>
          <w:i/>
        </w:rPr>
        <w:t>prestations sociales</w:t>
      </w:r>
      <w:r w:rsidRPr="002924D1">
        <w:rPr>
          <w:rFonts w:asciiTheme="majorHAnsi" w:hAnsiTheme="majorHAnsi"/>
          <w:bCs/>
        </w:rPr>
        <w:t xml:space="preserve"> qui leur sont dues : ces prestations sont donc inscrites en emplois pour les APU et ces sociétés, et en ressources pour les ménages.</w:t>
      </w:r>
    </w:p>
    <w:p w:rsidR="00F93AB1" w:rsidRPr="002924D1" w:rsidRDefault="008827F2" w:rsidP="00F93AB1">
      <w:pPr>
        <w:pStyle w:val="ListParagraph"/>
        <w:numPr>
          <w:ilvl w:val="0"/>
          <w:numId w:val="10"/>
        </w:numPr>
        <w:jc w:val="both"/>
        <w:rPr>
          <w:rFonts w:asciiTheme="majorHAnsi" w:hAnsiTheme="majorHAnsi"/>
          <w:bCs/>
        </w:rPr>
      </w:pPr>
      <w:r>
        <w:rPr>
          <w:rFonts w:asciiTheme="majorHAnsi" w:hAnsiTheme="majorHAnsi"/>
          <w:bCs/>
        </w:rPr>
        <w:t>Le versement (e</w:t>
      </w:r>
      <w:r w:rsidR="00F93AB1" w:rsidRPr="002924D1">
        <w:rPr>
          <w:rFonts w:asciiTheme="majorHAnsi" w:hAnsiTheme="majorHAnsi"/>
          <w:bCs/>
        </w:rPr>
        <w:t xml:space="preserve">mploi) par tous les secteurs des </w:t>
      </w:r>
      <w:r w:rsidR="00F93AB1" w:rsidRPr="002924D1">
        <w:rPr>
          <w:rFonts w:asciiTheme="majorHAnsi" w:hAnsiTheme="majorHAnsi"/>
          <w:b/>
          <w:bCs/>
          <w:i/>
        </w:rPr>
        <w:t>primes d’assurances-dommages</w:t>
      </w:r>
      <w:r w:rsidR="00F93AB1" w:rsidRPr="002924D1">
        <w:rPr>
          <w:rFonts w:asciiTheme="majorHAnsi" w:hAnsiTheme="majorHAnsi"/>
          <w:bCs/>
        </w:rPr>
        <w:t>, qui permettent aux agents économiques de s’assurer contre un certain nombre de risques. Ces primes constituent donc une ressource pour les entreprises d’assurances.</w:t>
      </w:r>
    </w:p>
    <w:p w:rsidR="00F93AB1" w:rsidRPr="002924D1" w:rsidRDefault="00F93AB1" w:rsidP="00F93AB1">
      <w:pPr>
        <w:pStyle w:val="ListParagraph"/>
        <w:ind w:left="1287"/>
        <w:jc w:val="both"/>
        <w:rPr>
          <w:rFonts w:asciiTheme="majorHAnsi" w:hAnsiTheme="majorHAnsi"/>
          <w:bCs/>
        </w:rPr>
      </w:pPr>
      <w:r w:rsidRPr="002924D1">
        <w:rPr>
          <w:rFonts w:asciiTheme="majorHAnsi" w:hAnsiTheme="majorHAnsi"/>
          <w:bCs/>
        </w:rPr>
        <w:t xml:space="preserve">En contrepartie, celles-ci versent des </w:t>
      </w:r>
      <w:r w:rsidRPr="002924D1">
        <w:rPr>
          <w:rFonts w:asciiTheme="majorHAnsi" w:hAnsiTheme="majorHAnsi"/>
          <w:b/>
          <w:bCs/>
          <w:i/>
        </w:rPr>
        <w:t>indemnités d’assurances-dommages</w:t>
      </w:r>
      <w:r w:rsidRPr="002924D1">
        <w:rPr>
          <w:rFonts w:asciiTheme="majorHAnsi" w:hAnsiTheme="majorHAnsi"/>
          <w:bCs/>
        </w:rPr>
        <w:t xml:space="preserve"> aux agents de tous secteurs qui ont subi des dommages pour lesquels ils étaient assurés. Ces indemnités sont donc inscrites en emplois du compte des Sociétés financières, et en ressources des autres secteurs.</w:t>
      </w:r>
    </w:p>
    <w:p w:rsidR="00F93AB1" w:rsidRPr="002924D1" w:rsidRDefault="00F93AB1" w:rsidP="00F93AB1">
      <w:pPr>
        <w:pStyle w:val="ListParagraph"/>
        <w:ind w:left="1287"/>
        <w:jc w:val="both"/>
        <w:rPr>
          <w:rFonts w:asciiTheme="majorHAnsi" w:hAnsiTheme="majorHAnsi"/>
          <w:bCs/>
        </w:rPr>
      </w:pPr>
    </w:p>
    <w:p w:rsidR="00F93AB1" w:rsidRPr="002924D1" w:rsidRDefault="00F93AB1" w:rsidP="00F93AB1">
      <w:pPr>
        <w:ind w:firstLine="567"/>
        <w:jc w:val="both"/>
        <w:rPr>
          <w:rFonts w:asciiTheme="majorHAnsi" w:hAnsiTheme="majorHAnsi"/>
        </w:rPr>
      </w:pPr>
      <w:r w:rsidRPr="002924D1">
        <w:rPr>
          <w:rFonts w:asciiTheme="majorHAnsi" w:hAnsiTheme="majorHAnsi"/>
          <w:bCs/>
        </w:rPr>
        <w:t xml:space="preserve">Le solde du compte de distribution secondaire du revenu est le </w:t>
      </w:r>
      <w:r w:rsidRPr="008827F2">
        <w:rPr>
          <w:rFonts w:asciiTheme="majorHAnsi" w:hAnsiTheme="majorHAnsi"/>
          <w:b/>
          <w:bCs/>
        </w:rPr>
        <w:t>Revenu Disponible Brut</w:t>
      </w:r>
      <w:r w:rsidRPr="002924D1">
        <w:rPr>
          <w:rFonts w:asciiTheme="majorHAnsi" w:hAnsiTheme="majorHAnsi"/>
          <w:bCs/>
        </w:rPr>
        <w:t>,</w:t>
      </w:r>
      <w:r w:rsidRPr="002924D1">
        <w:rPr>
          <w:rFonts w:asciiTheme="majorHAnsi" w:hAnsiTheme="majorHAnsi"/>
        </w:rPr>
        <w:t xml:space="preserve"> le revenu de chaque secteur après redistribution.</w:t>
      </w:r>
    </w:p>
    <w:p w:rsidR="00F93AB1" w:rsidRDefault="00F93AB1" w:rsidP="00F93AB1">
      <w:pPr>
        <w:rPr>
          <w:rFonts w:asciiTheme="majorHAnsi" w:hAnsiTheme="majorHAnsi"/>
        </w:rPr>
      </w:pPr>
    </w:p>
    <w:p w:rsidR="003A5186" w:rsidRDefault="003A5186" w:rsidP="00F93AB1">
      <w:pPr>
        <w:rPr>
          <w:rFonts w:asciiTheme="majorHAnsi" w:hAnsiTheme="majorHAnsi"/>
        </w:rPr>
      </w:pPr>
    </w:p>
    <w:p w:rsidR="003A5186" w:rsidRPr="002924D1" w:rsidRDefault="003A5186" w:rsidP="00F93AB1">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54"/>
        <w:gridCol w:w="4855"/>
      </w:tblGrid>
      <w:tr w:rsidR="00F93AB1" w:rsidRPr="002924D1">
        <w:trPr>
          <w:cantSplit/>
        </w:trPr>
        <w:tc>
          <w:tcPr>
            <w:tcW w:w="9709" w:type="dxa"/>
            <w:gridSpan w:val="2"/>
            <w:tcBorders>
              <w:top w:val="double" w:sz="4" w:space="0" w:color="auto"/>
              <w:left w:val="double" w:sz="4" w:space="0" w:color="auto"/>
              <w:bottom w:val="double" w:sz="4" w:space="0" w:color="auto"/>
              <w:right w:val="double" w:sz="4" w:space="0" w:color="auto"/>
            </w:tcBorders>
          </w:tcPr>
          <w:p w:rsidR="00F93AB1" w:rsidRPr="002924D1" w:rsidRDefault="00F93AB1" w:rsidP="00F93AB1">
            <w:pPr>
              <w:pStyle w:val="Heading1"/>
              <w:rPr>
                <w:rFonts w:asciiTheme="majorHAnsi" w:hAnsiTheme="majorHAnsi"/>
                <w:sz w:val="18"/>
                <w:szCs w:val="18"/>
              </w:rPr>
            </w:pPr>
            <w:r w:rsidRPr="002924D1">
              <w:rPr>
                <w:rFonts w:asciiTheme="majorHAnsi" w:hAnsiTheme="majorHAnsi"/>
                <w:sz w:val="18"/>
                <w:szCs w:val="18"/>
              </w:rPr>
              <w:t>Compte de distribution secondaire du revenu</w:t>
            </w:r>
          </w:p>
        </w:tc>
      </w:tr>
      <w:tr w:rsidR="00F93AB1" w:rsidRPr="002924D1">
        <w:tc>
          <w:tcPr>
            <w:tcW w:w="4854" w:type="dxa"/>
            <w:tcBorders>
              <w:top w:val="double" w:sz="4" w:space="0" w:color="auto"/>
              <w:lef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p>
        </w:tc>
        <w:tc>
          <w:tcPr>
            <w:tcW w:w="4855" w:type="dxa"/>
            <w:tcBorders>
              <w:top w:val="double" w:sz="4" w:space="0" w:color="auto"/>
              <w:righ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Solde brut des Revenus primaires (SBRP)                                                             </w:t>
            </w:r>
          </w:p>
        </w:tc>
      </w:tr>
      <w:tr w:rsidR="00F93AB1" w:rsidRPr="002924D1">
        <w:tc>
          <w:tcPr>
            <w:tcW w:w="4854" w:type="dxa"/>
            <w:tcBorders>
              <w:top w:val="double" w:sz="4" w:space="0" w:color="auto"/>
              <w:lef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Impôts sur le revenu et le patrimoine (Ts Secteurs)               </w:t>
            </w:r>
          </w:p>
        </w:tc>
        <w:tc>
          <w:tcPr>
            <w:tcW w:w="4855" w:type="dxa"/>
            <w:tcBorders>
              <w:top w:val="double" w:sz="4" w:space="0" w:color="auto"/>
              <w:righ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Impôts sur le revenu et le patrimoine (APU)               </w:t>
            </w:r>
          </w:p>
        </w:tc>
      </w:tr>
      <w:tr w:rsidR="00F93AB1" w:rsidRPr="002924D1">
        <w:tc>
          <w:tcPr>
            <w:tcW w:w="4854" w:type="dxa"/>
            <w:tcBorders>
              <w:lef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Primes d’assurances dommages (Ts Secteurs)                          </w:t>
            </w:r>
          </w:p>
        </w:tc>
        <w:tc>
          <w:tcPr>
            <w:tcW w:w="4855" w:type="dxa"/>
            <w:tcBorders>
              <w:righ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 Primes d’assurances dommages (Soc. D’Assur.)           </w:t>
            </w:r>
          </w:p>
        </w:tc>
      </w:tr>
      <w:tr w:rsidR="00F93AB1" w:rsidRPr="002924D1">
        <w:tc>
          <w:tcPr>
            <w:tcW w:w="4854" w:type="dxa"/>
            <w:tcBorders>
              <w:lef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Indemnités d’assurances dommages (Soc. D’Assur.)</w:t>
            </w:r>
          </w:p>
        </w:tc>
        <w:tc>
          <w:tcPr>
            <w:tcW w:w="4855" w:type="dxa"/>
            <w:tcBorders>
              <w:righ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Indemnités d’assurances dommages (Ts Secteurs)</w:t>
            </w:r>
          </w:p>
        </w:tc>
      </w:tr>
      <w:tr w:rsidR="00F93AB1" w:rsidRPr="002924D1">
        <w:tc>
          <w:tcPr>
            <w:tcW w:w="4854" w:type="dxa"/>
            <w:tcBorders>
              <w:lef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Prestations sociales (régimes d’Ent. et APU)                </w:t>
            </w:r>
          </w:p>
        </w:tc>
        <w:tc>
          <w:tcPr>
            <w:tcW w:w="4855" w:type="dxa"/>
            <w:tcBorders>
              <w:righ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 Prestations sociales (Ménages)               </w:t>
            </w:r>
          </w:p>
        </w:tc>
      </w:tr>
      <w:tr w:rsidR="00F93AB1" w:rsidRPr="002924D1">
        <w:tc>
          <w:tcPr>
            <w:tcW w:w="4854" w:type="dxa"/>
            <w:tcBorders>
              <w:lef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Cotisations sociales (Ménages)</w:t>
            </w:r>
          </w:p>
        </w:tc>
        <w:tc>
          <w:tcPr>
            <w:tcW w:w="4855" w:type="dxa"/>
            <w:tcBorders>
              <w:righ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Cotisations sociales (régimes d’entr. et APU)</w:t>
            </w:r>
          </w:p>
        </w:tc>
      </w:tr>
      <w:tr w:rsidR="00F93AB1" w:rsidRPr="002924D1">
        <w:tc>
          <w:tcPr>
            <w:tcW w:w="4854" w:type="dxa"/>
            <w:tcBorders>
              <w:lef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Autres transferts courants versés                     </w:t>
            </w:r>
          </w:p>
        </w:tc>
        <w:tc>
          <w:tcPr>
            <w:tcW w:w="4855" w:type="dxa"/>
            <w:tcBorders>
              <w:righ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Autres transferts courants perçus                      </w:t>
            </w:r>
          </w:p>
        </w:tc>
      </w:tr>
      <w:tr w:rsidR="00F93AB1" w:rsidRPr="002924D1">
        <w:tc>
          <w:tcPr>
            <w:tcW w:w="4854" w:type="dxa"/>
            <w:tcBorders>
              <w:top w:val="thinThickSmallGap" w:sz="24" w:space="0" w:color="auto"/>
              <w:left w:val="thinThickSmallGap" w:sz="24" w:space="0" w:color="auto"/>
              <w:bottom w:val="thinThickSmallGap" w:sz="24" w:space="0" w:color="auto"/>
              <w:right w:val="thinThickSmallGap" w:sz="24" w:space="0" w:color="auto"/>
            </w:tcBorders>
          </w:tcPr>
          <w:p w:rsidR="00F93AB1" w:rsidRPr="002924D1" w:rsidRDefault="00F93AB1" w:rsidP="00F93AB1">
            <w:pPr>
              <w:pStyle w:val="FootnoteText"/>
              <w:tabs>
                <w:tab w:val="right" w:pos="4536"/>
              </w:tabs>
              <w:rPr>
                <w:rFonts w:asciiTheme="majorHAnsi" w:hAnsiTheme="majorHAnsi"/>
                <w:sz w:val="18"/>
                <w:szCs w:val="18"/>
              </w:rPr>
            </w:pPr>
            <w:r w:rsidRPr="002924D1">
              <w:rPr>
                <w:rFonts w:asciiTheme="majorHAnsi" w:hAnsiTheme="majorHAnsi"/>
                <w:sz w:val="18"/>
                <w:szCs w:val="18"/>
              </w:rPr>
              <w:t xml:space="preserve">Solde : Revenu Disponible Brut (RDB)                                                   </w:t>
            </w:r>
          </w:p>
        </w:tc>
        <w:tc>
          <w:tcPr>
            <w:tcW w:w="4855" w:type="dxa"/>
            <w:tcBorders>
              <w:left w:val="nil"/>
              <w:bottom w:val="double" w:sz="4" w:space="0" w:color="auto"/>
              <w:right w:val="double" w:sz="4" w:space="0" w:color="auto"/>
            </w:tcBorders>
          </w:tcPr>
          <w:p w:rsidR="00F93AB1" w:rsidRPr="002924D1" w:rsidRDefault="00F93AB1" w:rsidP="00F93AB1">
            <w:pPr>
              <w:pStyle w:val="FootnoteText"/>
              <w:tabs>
                <w:tab w:val="right" w:pos="4536"/>
              </w:tabs>
              <w:rPr>
                <w:rFonts w:asciiTheme="majorHAnsi" w:hAnsiTheme="majorHAnsi"/>
                <w:sz w:val="18"/>
                <w:szCs w:val="18"/>
              </w:rPr>
            </w:pPr>
          </w:p>
        </w:tc>
      </w:tr>
    </w:tbl>
    <w:p w:rsidR="00F93AB1" w:rsidRPr="002924D1" w:rsidRDefault="00F93AB1" w:rsidP="00F93AB1">
      <w:pPr>
        <w:ind w:firstLine="709"/>
        <w:jc w:val="center"/>
        <w:rPr>
          <w:rFonts w:asciiTheme="majorHAnsi" w:hAnsiTheme="majorHAnsi"/>
        </w:rPr>
      </w:pPr>
    </w:p>
    <w:p w:rsidR="00F93AB1" w:rsidRPr="002924D1" w:rsidRDefault="00F93AB1" w:rsidP="00F93AB1">
      <w:pPr>
        <w:pStyle w:val="ListParagraph"/>
        <w:ind w:left="0" w:firstLine="567"/>
        <w:jc w:val="both"/>
        <w:rPr>
          <w:rFonts w:asciiTheme="majorHAnsi" w:hAnsiTheme="majorHAnsi"/>
          <w:bCs/>
        </w:rPr>
      </w:pPr>
      <w:r w:rsidRPr="002924D1">
        <w:rPr>
          <w:rFonts w:asciiTheme="majorHAnsi" w:hAnsiTheme="majorHAnsi"/>
          <w:bCs/>
        </w:rPr>
        <w:t>Comme on peut le constater, le compte d’affectation du revenu primaire et le compte de distribution secondaire du revenu peuvent différer selon le secteur.</w:t>
      </w:r>
    </w:p>
    <w:p w:rsidR="00F93AB1" w:rsidRDefault="00F93AB1" w:rsidP="00F93AB1">
      <w:pPr>
        <w:pStyle w:val="ListParagraph"/>
        <w:ind w:left="0" w:firstLine="567"/>
        <w:jc w:val="both"/>
        <w:rPr>
          <w:rFonts w:asciiTheme="majorHAnsi" w:hAnsiTheme="majorHAnsi"/>
          <w:bCs/>
        </w:rPr>
      </w:pPr>
    </w:p>
    <w:p w:rsidR="003A5186" w:rsidRPr="002924D1" w:rsidRDefault="003A5186" w:rsidP="00F93AB1">
      <w:pPr>
        <w:pStyle w:val="ListParagraph"/>
        <w:ind w:left="0" w:firstLine="567"/>
        <w:jc w:val="both"/>
        <w:rPr>
          <w:rFonts w:asciiTheme="majorHAnsi" w:hAnsiTheme="majorHAnsi"/>
          <w:bCs/>
        </w:rPr>
      </w:pPr>
    </w:p>
    <w:p w:rsidR="00F93AB1" w:rsidRPr="002924D1" w:rsidRDefault="00F93AB1" w:rsidP="00F93AB1">
      <w:pPr>
        <w:ind w:firstLine="567"/>
        <w:jc w:val="both"/>
        <w:rPr>
          <w:rFonts w:asciiTheme="majorHAnsi" w:hAnsiTheme="majorHAnsi"/>
          <w:b/>
        </w:rPr>
      </w:pPr>
      <w:r w:rsidRPr="002924D1">
        <w:rPr>
          <w:rFonts w:asciiTheme="majorHAnsi" w:hAnsiTheme="majorHAnsi"/>
          <w:b/>
        </w:rPr>
        <w:t>Cinquième compte : Le compte d’utilisation du revenu.</w:t>
      </w:r>
    </w:p>
    <w:p w:rsidR="00F93AB1" w:rsidRPr="002924D1" w:rsidRDefault="00F93AB1" w:rsidP="00F93AB1">
      <w:pPr>
        <w:ind w:firstLine="567"/>
        <w:jc w:val="both"/>
        <w:rPr>
          <w:rFonts w:asciiTheme="majorHAnsi" w:hAnsiTheme="majorHAnsi"/>
        </w:rPr>
      </w:pPr>
    </w:p>
    <w:p w:rsidR="00F93AB1" w:rsidRPr="002924D1" w:rsidRDefault="00F93AB1" w:rsidP="00F93AB1">
      <w:pPr>
        <w:ind w:firstLine="567"/>
        <w:jc w:val="both"/>
        <w:rPr>
          <w:rFonts w:asciiTheme="majorHAnsi" w:hAnsiTheme="majorHAnsi"/>
        </w:rPr>
      </w:pPr>
      <w:r w:rsidRPr="002924D1">
        <w:rPr>
          <w:rFonts w:asciiTheme="majorHAnsi" w:hAnsiTheme="majorHAnsi"/>
        </w:rPr>
        <w:t>Il ne concerne que trois secteurs : les ménages, les APU et les ISBLSM qui effectuent des dépenses de consommation finale.</w:t>
      </w:r>
    </w:p>
    <w:p w:rsidR="00F93AB1" w:rsidRPr="002924D1" w:rsidRDefault="00F93AB1" w:rsidP="00F93AB1">
      <w:pPr>
        <w:ind w:firstLine="567"/>
        <w:jc w:val="both"/>
        <w:rPr>
          <w:rFonts w:asciiTheme="majorHAnsi" w:hAnsiTheme="majorHAnsi"/>
        </w:rPr>
      </w:pPr>
      <w:r w:rsidRPr="002924D1">
        <w:rPr>
          <w:rFonts w:asciiTheme="majorHAnsi" w:hAnsiTheme="majorHAnsi"/>
        </w:rPr>
        <w:t xml:space="preserve">Ce compte présente, en ressources, le revenu disponible brut du secteur, et en emplois, les dépenses de consommation finale du secteur. </w:t>
      </w:r>
    </w:p>
    <w:p w:rsidR="00F93AB1" w:rsidRPr="002924D1" w:rsidRDefault="00F93AB1" w:rsidP="00F93AB1">
      <w:pPr>
        <w:ind w:firstLine="567"/>
        <w:jc w:val="both"/>
        <w:rPr>
          <w:rFonts w:asciiTheme="majorHAnsi" w:hAnsiTheme="majorHAnsi"/>
        </w:rPr>
      </w:pPr>
      <w:r w:rsidRPr="002924D1">
        <w:rPr>
          <w:rFonts w:asciiTheme="majorHAnsi" w:hAnsiTheme="majorHAnsi"/>
        </w:rPr>
        <w:t xml:space="preserve">Son solde constitue </w:t>
      </w:r>
      <w:r w:rsidRPr="002A32F5">
        <w:rPr>
          <w:rFonts w:asciiTheme="majorHAnsi" w:hAnsiTheme="majorHAnsi"/>
          <w:b/>
        </w:rPr>
        <w:t>l’Epargne brute</w:t>
      </w:r>
      <w:r w:rsidRPr="002924D1">
        <w:rPr>
          <w:rFonts w:asciiTheme="majorHAnsi" w:hAnsiTheme="majorHAnsi"/>
        </w:rPr>
        <w:t xml:space="preserve"> du secteur. Pour les Sociétés financières et non financières, l’épargne brute est égale au Revenu Disponible Brut, puisque ces deux secteurs n’ont pas de dépenses de consommation finale.</w:t>
      </w:r>
      <w:r w:rsidRPr="002924D1">
        <w:rPr>
          <w:rStyle w:val="FootnoteReference"/>
          <w:rFonts w:asciiTheme="majorHAnsi" w:hAnsiTheme="majorHAnsi"/>
        </w:rPr>
        <w:footnoteReference w:id="5"/>
      </w:r>
    </w:p>
    <w:p w:rsidR="00F93AB1" w:rsidRPr="002924D1" w:rsidRDefault="00F93AB1" w:rsidP="00F93AB1">
      <w:pPr>
        <w:ind w:firstLine="709"/>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54"/>
        <w:gridCol w:w="4855"/>
      </w:tblGrid>
      <w:tr w:rsidR="00F93AB1" w:rsidRPr="002924D1">
        <w:trPr>
          <w:cantSplit/>
        </w:trPr>
        <w:tc>
          <w:tcPr>
            <w:tcW w:w="9709" w:type="dxa"/>
            <w:gridSpan w:val="2"/>
            <w:tcBorders>
              <w:top w:val="double" w:sz="4" w:space="0" w:color="auto"/>
              <w:left w:val="double" w:sz="4" w:space="0" w:color="auto"/>
              <w:bottom w:val="double" w:sz="4" w:space="0" w:color="auto"/>
              <w:right w:val="double" w:sz="4" w:space="0" w:color="auto"/>
            </w:tcBorders>
          </w:tcPr>
          <w:p w:rsidR="00F93AB1" w:rsidRPr="002924D1" w:rsidRDefault="00F93AB1" w:rsidP="00F93AB1">
            <w:pPr>
              <w:pStyle w:val="Heading1"/>
              <w:rPr>
                <w:rFonts w:asciiTheme="majorHAnsi" w:hAnsiTheme="majorHAnsi"/>
                <w:sz w:val="18"/>
                <w:szCs w:val="18"/>
              </w:rPr>
            </w:pPr>
            <w:r w:rsidRPr="002924D1">
              <w:rPr>
                <w:rFonts w:asciiTheme="majorHAnsi" w:hAnsiTheme="majorHAnsi"/>
                <w:sz w:val="18"/>
                <w:szCs w:val="18"/>
              </w:rPr>
              <w:t>Compte d’utilisation du revenu</w:t>
            </w:r>
          </w:p>
        </w:tc>
      </w:tr>
      <w:tr w:rsidR="00F93AB1" w:rsidRPr="002924D1">
        <w:trPr>
          <w:trHeight w:val="225"/>
        </w:trPr>
        <w:tc>
          <w:tcPr>
            <w:tcW w:w="4854" w:type="dxa"/>
            <w:tcBorders>
              <w:top w:val="double" w:sz="4" w:space="0" w:color="auto"/>
              <w:left w:val="double" w:sz="4" w:space="0" w:color="auto"/>
            </w:tcBorders>
          </w:tcPr>
          <w:p w:rsidR="00F93AB1" w:rsidRPr="002924D1" w:rsidRDefault="00F93AB1" w:rsidP="00F93AB1">
            <w:pPr>
              <w:rPr>
                <w:rFonts w:asciiTheme="majorHAnsi" w:hAnsiTheme="majorHAnsi"/>
                <w:sz w:val="18"/>
                <w:szCs w:val="18"/>
              </w:rPr>
            </w:pPr>
            <w:r w:rsidRPr="002924D1">
              <w:rPr>
                <w:rFonts w:asciiTheme="majorHAnsi" w:hAnsiTheme="majorHAnsi"/>
                <w:sz w:val="18"/>
                <w:szCs w:val="18"/>
              </w:rPr>
              <w:t xml:space="preserve">Consommation finale                                         </w:t>
            </w:r>
          </w:p>
        </w:tc>
        <w:tc>
          <w:tcPr>
            <w:tcW w:w="4855" w:type="dxa"/>
            <w:tcBorders>
              <w:top w:val="double" w:sz="4" w:space="0" w:color="auto"/>
              <w:right w:val="double" w:sz="4" w:space="0" w:color="auto"/>
            </w:tcBorders>
          </w:tcPr>
          <w:p w:rsidR="00F93AB1" w:rsidRPr="002924D1" w:rsidRDefault="00F93AB1" w:rsidP="00F93AB1">
            <w:pPr>
              <w:rPr>
                <w:rFonts w:asciiTheme="majorHAnsi" w:hAnsiTheme="majorHAnsi"/>
                <w:sz w:val="18"/>
                <w:szCs w:val="18"/>
              </w:rPr>
            </w:pPr>
            <w:r w:rsidRPr="002924D1">
              <w:rPr>
                <w:rFonts w:asciiTheme="majorHAnsi" w:hAnsiTheme="majorHAnsi"/>
                <w:sz w:val="18"/>
                <w:szCs w:val="18"/>
              </w:rPr>
              <w:t xml:space="preserve">   Revenu Disponible Brut                                                           </w:t>
            </w:r>
          </w:p>
        </w:tc>
      </w:tr>
      <w:tr w:rsidR="00F93AB1" w:rsidRPr="002924D1">
        <w:trPr>
          <w:trHeight w:val="225"/>
        </w:trPr>
        <w:tc>
          <w:tcPr>
            <w:tcW w:w="4854" w:type="dxa"/>
            <w:tcBorders>
              <w:top w:val="thinThickSmallGap" w:sz="24" w:space="0" w:color="auto"/>
              <w:left w:val="thinThickSmallGap" w:sz="24" w:space="0" w:color="auto"/>
              <w:bottom w:val="thinThickSmallGap" w:sz="24" w:space="0" w:color="auto"/>
              <w:right w:val="thinThickSmallGap" w:sz="24" w:space="0" w:color="auto"/>
            </w:tcBorders>
          </w:tcPr>
          <w:p w:rsidR="00F93AB1" w:rsidRPr="002924D1" w:rsidRDefault="00F93AB1" w:rsidP="00F93AB1">
            <w:pPr>
              <w:rPr>
                <w:rFonts w:asciiTheme="majorHAnsi" w:hAnsiTheme="majorHAnsi"/>
                <w:sz w:val="18"/>
                <w:szCs w:val="18"/>
              </w:rPr>
            </w:pPr>
            <w:r w:rsidRPr="002924D1">
              <w:rPr>
                <w:rFonts w:asciiTheme="majorHAnsi" w:hAnsiTheme="majorHAnsi"/>
                <w:sz w:val="18"/>
                <w:szCs w:val="18"/>
              </w:rPr>
              <w:t xml:space="preserve">Solde : Epargne Brute                                     </w:t>
            </w:r>
          </w:p>
        </w:tc>
        <w:tc>
          <w:tcPr>
            <w:tcW w:w="4855" w:type="dxa"/>
            <w:tcBorders>
              <w:left w:val="nil"/>
              <w:bottom w:val="double" w:sz="4" w:space="0" w:color="auto"/>
              <w:right w:val="double" w:sz="4" w:space="0" w:color="auto"/>
            </w:tcBorders>
          </w:tcPr>
          <w:p w:rsidR="00F93AB1" w:rsidRPr="002924D1" w:rsidRDefault="00F93AB1" w:rsidP="00F93AB1">
            <w:pPr>
              <w:jc w:val="center"/>
              <w:rPr>
                <w:rFonts w:asciiTheme="majorHAnsi" w:hAnsiTheme="majorHAnsi"/>
                <w:sz w:val="18"/>
                <w:szCs w:val="18"/>
              </w:rPr>
            </w:pPr>
          </w:p>
        </w:tc>
      </w:tr>
    </w:tbl>
    <w:p w:rsidR="00F93AB1" w:rsidRDefault="00F93AB1" w:rsidP="00F93AB1">
      <w:pPr>
        <w:ind w:firstLine="567"/>
        <w:jc w:val="both"/>
        <w:rPr>
          <w:rFonts w:asciiTheme="majorHAnsi" w:hAnsiTheme="majorHAnsi"/>
        </w:rPr>
      </w:pPr>
    </w:p>
    <w:p w:rsidR="003A5186" w:rsidRPr="002924D1" w:rsidRDefault="003A5186" w:rsidP="00F93AB1">
      <w:pPr>
        <w:ind w:firstLine="567"/>
        <w:jc w:val="both"/>
        <w:rPr>
          <w:rFonts w:asciiTheme="majorHAnsi" w:hAnsiTheme="majorHAnsi"/>
        </w:rPr>
      </w:pPr>
    </w:p>
    <w:p w:rsidR="00F93AB1" w:rsidRPr="002924D1" w:rsidRDefault="00F93AB1" w:rsidP="00F93AB1">
      <w:pPr>
        <w:ind w:firstLine="567"/>
        <w:jc w:val="both"/>
        <w:rPr>
          <w:rFonts w:asciiTheme="majorHAnsi" w:hAnsiTheme="majorHAnsi"/>
          <w:b/>
        </w:rPr>
      </w:pPr>
      <w:r w:rsidRPr="002924D1">
        <w:rPr>
          <w:rFonts w:asciiTheme="majorHAnsi" w:hAnsiTheme="majorHAnsi"/>
          <w:b/>
        </w:rPr>
        <w:t>Sixième compte : le compte de capital (ou compte d’acquisition d’actifs non financiers).</w:t>
      </w:r>
    </w:p>
    <w:p w:rsidR="00F93AB1" w:rsidRPr="002924D1" w:rsidRDefault="00F93AB1" w:rsidP="00F93AB1">
      <w:pPr>
        <w:ind w:firstLine="567"/>
        <w:jc w:val="both"/>
        <w:rPr>
          <w:rFonts w:asciiTheme="majorHAnsi" w:hAnsiTheme="majorHAnsi"/>
        </w:rPr>
      </w:pPr>
    </w:p>
    <w:p w:rsidR="00F93AB1" w:rsidRPr="002924D1" w:rsidRDefault="00F93AB1" w:rsidP="00F93AB1">
      <w:pPr>
        <w:ind w:firstLine="567"/>
        <w:jc w:val="both"/>
        <w:rPr>
          <w:rFonts w:asciiTheme="majorHAnsi" w:hAnsiTheme="majorHAnsi"/>
        </w:rPr>
      </w:pPr>
      <w:r w:rsidRPr="002924D1">
        <w:rPr>
          <w:rFonts w:asciiTheme="majorHAnsi" w:hAnsiTheme="majorHAnsi"/>
        </w:rPr>
        <w:t>Il indique</w:t>
      </w:r>
      <w:r w:rsidR="002A32F5">
        <w:rPr>
          <w:rFonts w:asciiTheme="majorHAnsi" w:hAnsiTheme="majorHAnsi"/>
        </w:rPr>
        <w:t>,</w:t>
      </w:r>
      <w:r w:rsidRPr="002924D1">
        <w:rPr>
          <w:rFonts w:asciiTheme="majorHAnsi" w:hAnsiTheme="majorHAnsi"/>
        </w:rPr>
        <w:t xml:space="preserve"> </w:t>
      </w:r>
      <w:r w:rsidR="002A32F5">
        <w:rPr>
          <w:rFonts w:asciiTheme="majorHAnsi" w:hAnsiTheme="majorHAnsi"/>
        </w:rPr>
        <w:t xml:space="preserve">en emplois, </w:t>
      </w:r>
      <w:r w:rsidRPr="002924D1">
        <w:rPr>
          <w:rFonts w:asciiTheme="majorHAnsi" w:hAnsiTheme="majorHAnsi"/>
        </w:rPr>
        <w:t xml:space="preserve">à quoi le secteur a consacré son épargne brute, à laquelle s’ajoutent, en ressources, les transferts en capital : </w:t>
      </w:r>
    </w:p>
    <w:p w:rsidR="00F93AB1" w:rsidRPr="002924D1" w:rsidRDefault="00F93AB1" w:rsidP="00F93AB1">
      <w:pPr>
        <w:pStyle w:val="ListParagraph"/>
        <w:numPr>
          <w:ilvl w:val="0"/>
          <w:numId w:val="10"/>
        </w:numPr>
        <w:jc w:val="both"/>
        <w:rPr>
          <w:rFonts w:asciiTheme="majorHAnsi" w:hAnsiTheme="majorHAnsi"/>
        </w:rPr>
      </w:pPr>
      <w:r w:rsidRPr="002924D1">
        <w:rPr>
          <w:rFonts w:asciiTheme="majorHAnsi" w:hAnsiTheme="majorHAnsi"/>
        </w:rPr>
        <w:t>La formation Brute de capital fixe en est l’emploi le plus important en valeur.</w:t>
      </w:r>
    </w:p>
    <w:p w:rsidR="00F93AB1" w:rsidRPr="002924D1" w:rsidRDefault="00F93AB1" w:rsidP="00F93AB1">
      <w:pPr>
        <w:pStyle w:val="ListParagraph"/>
        <w:numPr>
          <w:ilvl w:val="0"/>
          <w:numId w:val="10"/>
        </w:numPr>
        <w:jc w:val="both"/>
        <w:rPr>
          <w:rFonts w:asciiTheme="majorHAnsi" w:hAnsiTheme="majorHAnsi"/>
        </w:rPr>
      </w:pPr>
      <w:r w:rsidRPr="002924D1">
        <w:rPr>
          <w:rFonts w:asciiTheme="majorHAnsi" w:hAnsiTheme="majorHAnsi"/>
        </w:rPr>
        <w:t>On enregistre de plus en emplois les variations de stocks du secteur, ainsi que les Acquisitions nettes des cessions d’objets de valeur (Ménages), et les Acquisition nettes des cessions d’actifs non financiers non produits (tous secteurs)</w:t>
      </w:r>
    </w:p>
    <w:p w:rsidR="00F93AB1" w:rsidRPr="002924D1" w:rsidRDefault="00F93AB1" w:rsidP="00F93AB1">
      <w:pPr>
        <w:pStyle w:val="ListParagraph"/>
        <w:ind w:left="1287"/>
        <w:jc w:val="both"/>
        <w:rPr>
          <w:rFonts w:asciiTheme="majorHAnsi" w:hAnsiTheme="majorHAnsi"/>
        </w:rPr>
      </w:pPr>
    </w:p>
    <w:p w:rsidR="00F93AB1" w:rsidRPr="002924D1" w:rsidRDefault="00F93AB1" w:rsidP="00F93AB1">
      <w:pPr>
        <w:ind w:firstLine="567"/>
        <w:jc w:val="both"/>
        <w:rPr>
          <w:rFonts w:asciiTheme="majorHAnsi" w:hAnsiTheme="majorHAnsi"/>
        </w:rPr>
      </w:pPr>
      <w:r w:rsidRPr="002924D1">
        <w:rPr>
          <w:rFonts w:asciiTheme="majorHAnsi" w:hAnsiTheme="majorHAnsi"/>
        </w:rPr>
        <w:t>Le solde de ce compte est :</w:t>
      </w:r>
    </w:p>
    <w:p w:rsidR="00F93AB1" w:rsidRPr="002924D1" w:rsidRDefault="00F93AB1" w:rsidP="00F93AB1">
      <w:pPr>
        <w:pStyle w:val="ListParagraph"/>
        <w:numPr>
          <w:ilvl w:val="0"/>
          <w:numId w:val="11"/>
        </w:numPr>
        <w:jc w:val="both"/>
        <w:rPr>
          <w:rFonts w:asciiTheme="majorHAnsi" w:hAnsiTheme="majorHAnsi"/>
        </w:rPr>
      </w:pPr>
      <w:r w:rsidRPr="002924D1">
        <w:rPr>
          <w:rFonts w:asciiTheme="majorHAnsi" w:hAnsiTheme="majorHAnsi"/>
        </w:rPr>
        <w:t xml:space="preserve">Soit négatif, et dans ce cas, le secteur présente un </w:t>
      </w:r>
      <w:r w:rsidRPr="002A32F5">
        <w:rPr>
          <w:rFonts w:asciiTheme="majorHAnsi" w:hAnsiTheme="majorHAnsi"/>
          <w:b/>
        </w:rPr>
        <w:t>besoin en financement</w:t>
      </w:r>
      <w:r w:rsidRPr="002924D1">
        <w:rPr>
          <w:rFonts w:asciiTheme="majorHAnsi" w:hAnsiTheme="majorHAnsi"/>
        </w:rPr>
        <w:t>, dû à l’excès de ses emplois sur ses ressources. Le secteur aura dû emprunter à d’autres secteurs pour réaliser l’ensemble de ses opérations. </w:t>
      </w:r>
    </w:p>
    <w:p w:rsidR="00F93AB1" w:rsidRPr="002924D1" w:rsidRDefault="00F93AB1" w:rsidP="00F93AB1">
      <w:pPr>
        <w:pStyle w:val="ListParagraph"/>
        <w:numPr>
          <w:ilvl w:val="0"/>
          <w:numId w:val="11"/>
        </w:numPr>
        <w:jc w:val="both"/>
        <w:rPr>
          <w:rFonts w:asciiTheme="majorHAnsi" w:hAnsiTheme="majorHAnsi"/>
        </w:rPr>
      </w:pPr>
      <w:r w:rsidRPr="002924D1">
        <w:rPr>
          <w:rFonts w:asciiTheme="majorHAnsi" w:hAnsiTheme="majorHAnsi"/>
        </w:rPr>
        <w:t xml:space="preserve">Soit positif, et dans ce cas, le secteur présente une </w:t>
      </w:r>
      <w:r w:rsidRPr="002A32F5">
        <w:rPr>
          <w:rFonts w:asciiTheme="majorHAnsi" w:hAnsiTheme="majorHAnsi"/>
          <w:b/>
        </w:rPr>
        <w:t>capacité de financement</w:t>
      </w:r>
      <w:r w:rsidRPr="002924D1">
        <w:rPr>
          <w:rFonts w:asciiTheme="majorHAnsi" w:hAnsiTheme="majorHAnsi"/>
        </w:rPr>
        <w:t xml:space="preserve"> : ses ressources ont excédé ses emplois, et le secteur aura pu prêter aux secteurs présentant un besoin en financement. </w:t>
      </w:r>
    </w:p>
    <w:p w:rsidR="00F93AB1" w:rsidRPr="002924D1" w:rsidRDefault="00F93AB1" w:rsidP="00F93AB1">
      <w:pPr>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54"/>
        <w:gridCol w:w="4855"/>
      </w:tblGrid>
      <w:tr w:rsidR="00F93AB1" w:rsidRPr="002924D1">
        <w:trPr>
          <w:cantSplit/>
        </w:trPr>
        <w:tc>
          <w:tcPr>
            <w:tcW w:w="9709" w:type="dxa"/>
            <w:gridSpan w:val="2"/>
            <w:tcBorders>
              <w:top w:val="double" w:sz="4" w:space="0" w:color="auto"/>
              <w:left w:val="double" w:sz="4" w:space="0" w:color="auto"/>
              <w:bottom w:val="double" w:sz="4" w:space="0" w:color="auto"/>
              <w:right w:val="double" w:sz="4" w:space="0" w:color="auto"/>
            </w:tcBorders>
          </w:tcPr>
          <w:p w:rsidR="00F93AB1" w:rsidRPr="002924D1" w:rsidRDefault="00F93AB1" w:rsidP="00F93AB1">
            <w:pPr>
              <w:pStyle w:val="Heading1"/>
              <w:rPr>
                <w:rFonts w:asciiTheme="majorHAnsi" w:hAnsiTheme="majorHAnsi"/>
                <w:sz w:val="18"/>
                <w:szCs w:val="18"/>
              </w:rPr>
            </w:pPr>
            <w:r w:rsidRPr="002924D1">
              <w:rPr>
                <w:rFonts w:asciiTheme="majorHAnsi" w:hAnsiTheme="majorHAnsi"/>
                <w:sz w:val="18"/>
                <w:szCs w:val="18"/>
              </w:rPr>
              <w:t>Compte de capital</w:t>
            </w:r>
          </w:p>
        </w:tc>
      </w:tr>
      <w:tr w:rsidR="00F93AB1" w:rsidRPr="002924D1">
        <w:tc>
          <w:tcPr>
            <w:tcW w:w="4854" w:type="dxa"/>
            <w:tcBorders>
              <w:top w:val="double" w:sz="4" w:space="0" w:color="auto"/>
              <w:left w:val="double" w:sz="4" w:space="0" w:color="auto"/>
            </w:tcBorders>
          </w:tcPr>
          <w:p w:rsidR="00F93AB1" w:rsidRPr="002924D1" w:rsidRDefault="00F93AB1" w:rsidP="00F93AB1">
            <w:pPr>
              <w:rPr>
                <w:rFonts w:asciiTheme="majorHAnsi" w:hAnsiTheme="majorHAnsi"/>
                <w:sz w:val="18"/>
                <w:szCs w:val="18"/>
              </w:rPr>
            </w:pPr>
            <w:r w:rsidRPr="002924D1">
              <w:rPr>
                <w:rFonts w:asciiTheme="majorHAnsi" w:hAnsiTheme="majorHAnsi"/>
                <w:sz w:val="18"/>
                <w:szCs w:val="18"/>
              </w:rPr>
              <w:t xml:space="preserve">Formation Brute de Capital Fixe                                                              </w:t>
            </w:r>
          </w:p>
        </w:tc>
        <w:tc>
          <w:tcPr>
            <w:tcW w:w="4855" w:type="dxa"/>
            <w:tcBorders>
              <w:top w:val="double" w:sz="4" w:space="0" w:color="auto"/>
              <w:right w:val="double" w:sz="4" w:space="0" w:color="auto"/>
            </w:tcBorders>
          </w:tcPr>
          <w:p w:rsidR="00F93AB1" w:rsidRPr="002924D1" w:rsidRDefault="00F93AB1" w:rsidP="00F93AB1">
            <w:pPr>
              <w:rPr>
                <w:rFonts w:asciiTheme="majorHAnsi" w:hAnsiTheme="majorHAnsi"/>
                <w:sz w:val="18"/>
                <w:szCs w:val="18"/>
              </w:rPr>
            </w:pPr>
            <w:r w:rsidRPr="002924D1">
              <w:rPr>
                <w:rFonts w:asciiTheme="majorHAnsi" w:hAnsiTheme="majorHAnsi"/>
                <w:sz w:val="18"/>
                <w:szCs w:val="18"/>
              </w:rPr>
              <w:t xml:space="preserve">Epargne Brute                                               </w:t>
            </w:r>
          </w:p>
        </w:tc>
      </w:tr>
      <w:tr w:rsidR="00F93AB1" w:rsidRPr="002924D1">
        <w:tc>
          <w:tcPr>
            <w:tcW w:w="4854" w:type="dxa"/>
            <w:tcBorders>
              <w:left w:val="double" w:sz="4" w:space="0" w:color="auto"/>
            </w:tcBorders>
          </w:tcPr>
          <w:p w:rsidR="00F93AB1" w:rsidRPr="002924D1" w:rsidRDefault="00F93AB1" w:rsidP="00F93AB1">
            <w:pPr>
              <w:rPr>
                <w:rFonts w:asciiTheme="majorHAnsi" w:hAnsiTheme="majorHAnsi"/>
                <w:sz w:val="18"/>
                <w:szCs w:val="18"/>
              </w:rPr>
            </w:pPr>
            <w:r w:rsidRPr="002924D1">
              <w:rPr>
                <w:rFonts w:asciiTheme="majorHAnsi" w:hAnsiTheme="majorHAnsi"/>
                <w:sz w:val="18"/>
                <w:szCs w:val="18"/>
              </w:rPr>
              <w:t xml:space="preserve">Variations de stocks                                           </w:t>
            </w:r>
          </w:p>
        </w:tc>
        <w:tc>
          <w:tcPr>
            <w:tcW w:w="4855" w:type="dxa"/>
            <w:tcBorders>
              <w:right w:val="double" w:sz="4" w:space="0" w:color="auto"/>
            </w:tcBorders>
          </w:tcPr>
          <w:p w:rsidR="00F93AB1" w:rsidRPr="002924D1" w:rsidRDefault="00F93AB1" w:rsidP="00F93AB1">
            <w:pPr>
              <w:rPr>
                <w:rFonts w:asciiTheme="majorHAnsi" w:hAnsiTheme="majorHAnsi"/>
                <w:sz w:val="18"/>
                <w:szCs w:val="18"/>
              </w:rPr>
            </w:pPr>
            <w:r w:rsidRPr="002924D1">
              <w:rPr>
                <w:rFonts w:asciiTheme="majorHAnsi" w:hAnsiTheme="majorHAnsi"/>
                <w:sz w:val="18"/>
                <w:szCs w:val="18"/>
              </w:rPr>
              <w:t xml:space="preserve">Transferts en capital reçus                              </w:t>
            </w:r>
          </w:p>
        </w:tc>
      </w:tr>
      <w:tr w:rsidR="00F93AB1" w:rsidRPr="002924D1">
        <w:tc>
          <w:tcPr>
            <w:tcW w:w="4854" w:type="dxa"/>
            <w:tcBorders>
              <w:left w:val="double" w:sz="4" w:space="0" w:color="auto"/>
            </w:tcBorders>
          </w:tcPr>
          <w:p w:rsidR="00F93AB1" w:rsidRPr="002924D1" w:rsidRDefault="00F93AB1" w:rsidP="00F93AB1">
            <w:pPr>
              <w:rPr>
                <w:rFonts w:asciiTheme="majorHAnsi" w:hAnsiTheme="majorHAnsi"/>
                <w:sz w:val="18"/>
                <w:szCs w:val="18"/>
              </w:rPr>
            </w:pPr>
            <w:r w:rsidRPr="002924D1">
              <w:rPr>
                <w:rFonts w:asciiTheme="majorHAnsi" w:hAnsiTheme="majorHAnsi"/>
                <w:sz w:val="18"/>
                <w:szCs w:val="18"/>
              </w:rPr>
              <w:t xml:space="preserve">Acq. nettes d’actifs non fin. non prod.               </w:t>
            </w:r>
          </w:p>
        </w:tc>
        <w:tc>
          <w:tcPr>
            <w:tcW w:w="4855" w:type="dxa"/>
            <w:tcBorders>
              <w:right w:val="double" w:sz="4" w:space="0" w:color="auto"/>
            </w:tcBorders>
          </w:tcPr>
          <w:p w:rsidR="00F93AB1" w:rsidRPr="002924D1" w:rsidRDefault="00F93AB1" w:rsidP="00F93AB1">
            <w:pPr>
              <w:rPr>
                <w:rFonts w:asciiTheme="majorHAnsi" w:hAnsiTheme="majorHAnsi"/>
                <w:sz w:val="18"/>
                <w:szCs w:val="18"/>
              </w:rPr>
            </w:pPr>
            <w:r w:rsidRPr="002924D1">
              <w:rPr>
                <w:rFonts w:asciiTheme="majorHAnsi" w:hAnsiTheme="majorHAnsi"/>
                <w:sz w:val="18"/>
                <w:szCs w:val="18"/>
              </w:rPr>
              <w:t xml:space="preserve">- Transferts en capital versés                          </w:t>
            </w:r>
          </w:p>
        </w:tc>
      </w:tr>
      <w:tr w:rsidR="00F93AB1" w:rsidRPr="002924D1">
        <w:tc>
          <w:tcPr>
            <w:tcW w:w="4854" w:type="dxa"/>
            <w:tcBorders>
              <w:left w:val="double" w:sz="4" w:space="0" w:color="auto"/>
            </w:tcBorders>
          </w:tcPr>
          <w:p w:rsidR="00F93AB1" w:rsidRPr="002924D1" w:rsidRDefault="00F93AB1" w:rsidP="00F93AB1">
            <w:pPr>
              <w:rPr>
                <w:rFonts w:asciiTheme="majorHAnsi" w:hAnsiTheme="majorHAnsi"/>
                <w:sz w:val="18"/>
                <w:szCs w:val="18"/>
              </w:rPr>
            </w:pPr>
            <w:r w:rsidRPr="002924D1">
              <w:rPr>
                <w:rFonts w:asciiTheme="majorHAnsi" w:hAnsiTheme="majorHAnsi"/>
                <w:sz w:val="18"/>
                <w:szCs w:val="18"/>
              </w:rPr>
              <w:t>Acq. Nettes d’objets de valeur</w:t>
            </w:r>
          </w:p>
        </w:tc>
        <w:tc>
          <w:tcPr>
            <w:tcW w:w="4855" w:type="dxa"/>
            <w:tcBorders>
              <w:right w:val="double" w:sz="4" w:space="0" w:color="auto"/>
            </w:tcBorders>
          </w:tcPr>
          <w:p w:rsidR="00F93AB1" w:rsidRPr="002924D1" w:rsidRDefault="00F93AB1" w:rsidP="00F93AB1">
            <w:pPr>
              <w:rPr>
                <w:rFonts w:asciiTheme="majorHAnsi" w:hAnsiTheme="majorHAnsi"/>
                <w:sz w:val="18"/>
                <w:szCs w:val="18"/>
              </w:rPr>
            </w:pPr>
          </w:p>
        </w:tc>
      </w:tr>
      <w:tr w:rsidR="00F93AB1" w:rsidRPr="002924D1">
        <w:tc>
          <w:tcPr>
            <w:tcW w:w="4854" w:type="dxa"/>
            <w:tcBorders>
              <w:top w:val="thinThickSmallGap" w:sz="24" w:space="0" w:color="auto"/>
              <w:left w:val="thinThickSmallGap" w:sz="24" w:space="0" w:color="auto"/>
              <w:bottom w:val="thinThickSmallGap" w:sz="24" w:space="0" w:color="auto"/>
              <w:right w:val="thinThickSmallGap" w:sz="24" w:space="0" w:color="auto"/>
            </w:tcBorders>
          </w:tcPr>
          <w:p w:rsidR="00F93AB1" w:rsidRPr="002924D1" w:rsidRDefault="00F93AB1" w:rsidP="00F93AB1">
            <w:pPr>
              <w:rPr>
                <w:rFonts w:asciiTheme="majorHAnsi" w:hAnsiTheme="majorHAnsi"/>
                <w:sz w:val="18"/>
                <w:szCs w:val="18"/>
              </w:rPr>
            </w:pPr>
            <w:r w:rsidRPr="002924D1">
              <w:rPr>
                <w:rFonts w:asciiTheme="majorHAnsi" w:hAnsiTheme="majorHAnsi"/>
                <w:sz w:val="18"/>
                <w:szCs w:val="18"/>
              </w:rPr>
              <w:t xml:space="preserve">Solde :  Capacité ou Besoin en financement                      </w:t>
            </w:r>
          </w:p>
        </w:tc>
        <w:tc>
          <w:tcPr>
            <w:tcW w:w="4855" w:type="dxa"/>
            <w:tcBorders>
              <w:left w:val="nil"/>
              <w:bottom w:val="double" w:sz="4" w:space="0" w:color="auto"/>
              <w:right w:val="double" w:sz="4" w:space="0" w:color="auto"/>
            </w:tcBorders>
          </w:tcPr>
          <w:p w:rsidR="00F93AB1" w:rsidRPr="002924D1" w:rsidRDefault="00F93AB1" w:rsidP="00F93AB1">
            <w:pPr>
              <w:jc w:val="center"/>
              <w:rPr>
                <w:rFonts w:asciiTheme="majorHAnsi" w:hAnsiTheme="majorHAnsi"/>
                <w:sz w:val="18"/>
                <w:szCs w:val="18"/>
              </w:rPr>
            </w:pPr>
          </w:p>
        </w:tc>
      </w:tr>
    </w:tbl>
    <w:p w:rsidR="00F93AB1" w:rsidRPr="002924D1" w:rsidRDefault="00F93AB1" w:rsidP="00F93AB1">
      <w:pPr>
        <w:ind w:firstLine="567"/>
        <w:jc w:val="both"/>
        <w:rPr>
          <w:rFonts w:asciiTheme="majorHAnsi" w:hAnsiTheme="majorHAnsi"/>
        </w:rPr>
      </w:pPr>
    </w:p>
    <w:p w:rsidR="00F93AB1" w:rsidRPr="002924D1" w:rsidRDefault="00F93AB1" w:rsidP="00F93AB1">
      <w:pPr>
        <w:rPr>
          <w:rFonts w:asciiTheme="majorHAnsi" w:hAnsiTheme="majorHAnsi"/>
        </w:rPr>
      </w:pPr>
    </w:p>
    <w:p w:rsidR="00771313" w:rsidRPr="002924D1" w:rsidRDefault="00771313">
      <w:pPr>
        <w:rPr>
          <w:rFonts w:asciiTheme="majorHAnsi" w:hAnsiTheme="majorHAnsi"/>
        </w:rPr>
      </w:pPr>
    </w:p>
    <w:sectPr w:rsidR="00771313" w:rsidRPr="002924D1" w:rsidSect="00F93AB1">
      <w:headerReference w:type="default" r:id="rId19"/>
      <w:footerReference w:type="default" r:id="rId20"/>
      <w:pgSz w:w="11909" w:h="16834"/>
      <w:pgMar w:top="1077" w:right="1134" w:bottom="1077" w:left="1134" w:gutter="0"/>
      <w:noEndnot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E2721" w:rsidRDefault="005E2721" w:rsidP="00F93AB1">
      <w:r>
        <w:separator/>
      </w:r>
    </w:p>
  </w:endnote>
  <w:endnote w:type="continuationSeparator" w:id="1">
    <w:p w:rsidR="005E2721" w:rsidRDefault="005E2721" w:rsidP="00F93AB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top w:val="single" w:sz="18" w:space="0" w:color="808080" w:themeColor="background1" w:themeShade="80"/>
        <w:insideV w:val="single" w:sz="18" w:space="0" w:color="808080" w:themeColor="background1" w:themeShade="80"/>
      </w:tblBorders>
      <w:tblLook w:val="04A0"/>
    </w:tblPr>
    <w:tblGrid>
      <w:gridCol w:w="1022"/>
      <w:gridCol w:w="8835"/>
    </w:tblGrid>
    <w:tr w:rsidR="005E2721">
      <w:tc>
        <w:tcPr>
          <w:tcW w:w="918" w:type="dxa"/>
        </w:tcPr>
        <w:p w:rsidR="005E2721" w:rsidRPr="00881D48" w:rsidRDefault="00DB622C">
          <w:pPr>
            <w:pStyle w:val="Footer"/>
            <w:jc w:val="right"/>
            <w:rPr>
              <w:b/>
              <w:color w:val="4F81BD" w:themeColor="accent1"/>
              <w:sz w:val="16"/>
              <w:szCs w:val="16"/>
            </w:rPr>
          </w:pPr>
          <w:fldSimple w:instr=" PAGE   \* MERGEFORMAT ">
            <w:r w:rsidR="00CC7F5B" w:rsidRPr="00CC7F5B">
              <w:rPr>
                <w:b/>
                <w:noProof/>
                <w:color w:val="4F81BD" w:themeColor="accent1"/>
                <w:sz w:val="16"/>
                <w:szCs w:val="16"/>
              </w:rPr>
              <w:t>1</w:t>
            </w:r>
          </w:fldSimple>
        </w:p>
      </w:tc>
      <w:tc>
        <w:tcPr>
          <w:tcW w:w="7938" w:type="dxa"/>
        </w:tcPr>
        <w:p w:rsidR="005E2721" w:rsidRPr="00F308F2" w:rsidRDefault="005E2721">
          <w:pPr>
            <w:pStyle w:val="Footer"/>
            <w:rPr>
              <w:rFonts w:asciiTheme="majorHAnsi" w:hAnsiTheme="majorHAnsi"/>
              <w:sz w:val="16"/>
              <w:szCs w:val="16"/>
            </w:rPr>
          </w:pPr>
          <w:r w:rsidRPr="00F308F2">
            <w:rPr>
              <w:rFonts w:asciiTheme="majorHAnsi" w:hAnsiTheme="majorHAnsi"/>
              <w:sz w:val="16"/>
              <w:szCs w:val="16"/>
            </w:rPr>
            <w:t>TD2  Les comptes des secteurs institutionnels</w:t>
          </w:r>
        </w:p>
      </w:tc>
    </w:tr>
  </w:tbl>
  <w:p w:rsidR="005E2721" w:rsidRDefault="005E2721">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E2721" w:rsidRDefault="005E2721" w:rsidP="00F93AB1">
      <w:r>
        <w:separator/>
      </w:r>
    </w:p>
  </w:footnote>
  <w:footnote w:type="continuationSeparator" w:id="1">
    <w:p w:rsidR="005E2721" w:rsidRDefault="005E2721" w:rsidP="00F93AB1">
      <w:r>
        <w:continuationSeparator/>
      </w:r>
    </w:p>
  </w:footnote>
  <w:footnote w:id="2">
    <w:p w:rsidR="005E2721" w:rsidRPr="00B202CD" w:rsidRDefault="005E2721" w:rsidP="00667E75">
      <w:pPr>
        <w:jc w:val="both"/>
        <w:rPr>
          <w:rFonts w:asciiTheme="majorHAnsi" w:hAnsiTheme="majorHAnsi"/>
          <w:sz w:val="18"/>
          <w:szCs w:val="18"/>
        </w:rPr>
      </w:pPr>
      <w:r>
        <w:rPr>
          <w:rStyle w:val="FootnoteReference"/>
        </w:rPr>
        <w:footnoteRef/>
      </w:r>
      <w:r>
        <w:t xml:space="preserve"> </w:t>
      </w:r>
      <w:r w:rsidRPr="00B202CD">
        <w:rPr>
          <w:rFonts w:asciiTheme="majorHAnsi" w:hAnsiTheme="majorHAnsi"/>
          <w:sz w:val="18"/>
          <w:szCs w:val="18"/>
        </w:rPr>
        <w:t>Le prix du pétrole a en effet connu une hausse tendancielle entre 2002 et 2007, et de très fortes fluctuations au cours de l’année 2008 : de 30$ en 2002, il est passé à 100$ début 2008, à 133$ en juillet, pour retomber à 40$ en décembre, puis à 75$ en moyenne en 2009.</w:t>
      </w:r>
    </w:p>
    <w:p w:rsidR="005E2721" w:rsidRDefault="005E2721" w:rsidP="00667E75">
      <w:pPr>
        <w:pStyle w:val="FootnoteText"/>
      </w:pPr>
    </w:p>
  </w:footnote>
  <w:footnote w:id="3">
    <w:p w:rsidR="005E2721" w:rsidRPr="00667E75" w:rsidRDefault="005E2721" w:rsidP="00667E75">
      <w:pPr>
        <w:jc w:val="both"/>
        <w:rPr>
          <w:rFonts w:asciiTheme="majorHAnsi" w:hAnsiTheme="majorHAnsi"/>
        </w:rPr>
      </w:pPr>
      <w:r>
        <w:rPr>
          <w:rStyle w:val="FootnoteReference"/>
        </w:rPr>
        <w:footnoteRef/>
      </w:r>
      <w:r>
        <w:t xml:space="preserve"> </w:t>
      </w:r>
      <w:r w:rsidRPr="00667E75">
        <w:rPr>
          <w:rFonts w:asciiTheme="majorHAnsi" w:hAnsiTheme="majorHAnsi"/>
          <w:sz w:val="18"/>
          <w:szCs w:val="18"/>
        </w:rPr>
        <w:t>On a observé une hausse importante des prix des matières premières industrielles et des produits de la sidérurgie, dont la forte demande a été essentiellement liée à la croissance des pays émergents. Fait nouveau, la hausse des prix des matières premières agricoles a été aussi inattendue que spectaculaire, soutenue par l’accélération de la demande des pays émergents dans un contexte d’offre moins dynamique (conditions climatiques, éviction des cultures destinées à l’alimentation au profit des biocarburants…). Hausse qui a été à l’origine de ce que l’on a appelé les « émeutes de la faim » dans les pays les plus pauvres.</w:t>
      </w:r>
    </w:p>
    <w:p w:rsidR="005E2721" w:rsidRDefault="005E2721">
      <w:pPr>
        <w:pStyle w:val="FootnoteText"/>
      </w:pPr>
    </w:p>
  </w:footnote>
  <w:footnote w:id="4">
    <w:p w:rsidR="005E2721" w:rsidRPr="002924D1" w:rsidRDefault="005E2721" w:rsidP="002924D1">
      <w:pPr>
        <w:ind w:firstLine="567"/>
        <w:jc w:val="both"/>
        <w:rPr>
          <w:rFonts w:asciiTheme="majorHAnsi" w:hAnsiTheme="majorHAnsi"/>
          <w:sz w:val="16"/>
          <w:szCs w:val="16"/>
        </w:rPr>
      </w:pPr>
      <w:r w:rsidRPr="002924D1">
        <w:rPr>
          <w:rStyle w:val="FootnoteReference"/>
          <w:rFonts w:asciiTheme="majorHAnsi" w:hAnsiTheme="majorHAnsi"/>
          <w:sz w:val="16"/>
          <w:szCs w:val="16"/>
        </w:rPr>
        <w:footnoteRef/>
      </w:r>
      <w:r w:rsidRPr="002924D1">
        <w:rPr>
          <w:rFonts w:asciiTheme="majorHAnsi" w:hAnsiTheme="majorHAnsi"/>
          <w:sz w:val="16"/>
          <w:szCs w:val="16"/>
        </w:rPr>
        <w:t xml:space="preserve"> Dans l'ancien système, les soldes des comptes d'opérations courantes étaient évalués bruts. Le nouveau système prévoit de les évaluer également nets, c'est-à-dire en déduisant la consommation de capital fixe </w:t>
      </w:r>
      <w:r w:rsidRPr="002924D1">
        <w:rPr>
          <w:rFonts w:asciiTheme="majorHAnsi" w:hAnsiTheme="majorHAnsi"/>
          <w:bCs/>
          <w:sz w:val="16"/>
          <w:szCs w:val="16"/>
        </w:rPr>
        <w:t>(estimation de l’usure du capital utilisé pendant la période)</w:t>
      </w:r>
      <w:r w:rsidRPr="002924D1">
        <w:rPr>
          <w:rFonts w:asciiTheme="majorHAnsi" w:hAnsiTheme="majorHAnsi"/>
          <w:sz w:val="16"/>
          <w:szCs w:val="16"/>
        </w:rPr>
        <w:t>. Ces soldes nets sont en principe plus significatifs d'un point de vue économique. Cependant, l'évaluation de la consommation de capital fixe est nécessairement approximative, ce qui conduira à privilégier la diffusion des soldes bruts plutôt que celle des soldes nets.</w:t>
      </w:r>
    </w:p>
  </w:footnote>
  <w:footnote w:id="5">
    <w:p w:rsidR="005E2721" w:rsidRPr="0009096E" w:rsidRDefault="005E2721" w:rsidP="003A5186">
      <w:pPr>
        <w:ind w:firstLine="567"/>
        <w:jc w:val="both"/>
        <w:rPr>
          <w:rFonts w:asciiTheme="majorHAnsi" w:hAnsiTheme="majorHAnsi"/>
          <w:sz w:val="18"/>
          <w:szCs w:val="18"/>
        </w:rPr>
      </w:pPr>
      <w:r>
        <w:rPr>
          <w:rStyle w:val="FootnoteReference"/>
        </w:rPr>
        <w:footnoteRef/>
      </w:r>
      <w:r>
        <w:t xml:space="preserve"> </w:t>
      </w:r>
      <w:r w:rsidRPr="003A5186">
        <w:rPr>
          <w:rFonts w:asciiTheme="majorHAnsi" w:hAnsiTheme="majorHAnsi"/>
          <w:sz w:val="18"/>
          <w:szCs w:val="18"/>
        </w:rPr>
        <w:t xml:space="preserve">A ce stade, le nouveau système de comptabilité nationale introduit une bifurcation vers un </w:t>
      </w:r>
      <w:r w:rsidRPr="0009096E">
        <w:rPr>
          <w:rFonts w:asciiTheme="majorHAnsi" w:hAnsiTheme="majorHAnsi"/>
          <w:bCs/>
          <w:sz w:val="18"/>
          <w:szCs w:val="18"/>
        </w:rPr>
        <w:t>compte de redistribution du revenu en nature</w:t>
      </w:r>
      <w:r w:rsidRPr="0009096E">
        <w:rPr>
          <w:rFonts w:asciiTheme="majorHAnsi" w:hAnsiTheme="majorHAnsi"/>
          <w:sz w:val="18"/>
          <w:szCs w:val="18"/>
        </w:rPr>
        <w:t xml:space="preserve">. Ce compte retrace le passage du revenu disponible au </w:t>
      </w:r>
      <w:r w:rsidRPr="0009096E">
        <w:rPr>
          <w:rFonts w:asciiTheme="majorHAnsi" w:hAnsiTheme="majorHAnsi"/>
          <w:bCs/>
          <w:sz w:val="18"/>
          <w:szCs w:val="18"/>
        </w:rPr>
        <w:t>revenu disponible ajusté</w:t>
      </w:r>
      <w:r w:rsidRPr="0009096E">
        <w:rPr>
          <w:rFonts w:asciiTheme="majorHAnsi" w:hAnsiTheme="majorHAnsi"/>
          <w:sz w:val="18"/>
          <w:szCs w:val="18"/>
        </w:rPr>
        <w:t xml:space="preserve">. Au revenu disponible correspond la dépense de consommation, alors qu'au revenu disponible ajusté correspond la consommation finale effective. Les deux </w:t>
      </w:r>
      <w:r w:rsidRPr="0009096E">
        <w:rPr>
          <w:rFonts w:asciiTheme="majorHAnsi" w:hAnsiTheme="majorHAnsi"/>
          <w:bCs/>
          <w:sz w:val="18"/>
          <w:szCs w:val="18"/>
        </w:rPr>
        <w:t>comptes d'utilisation du revenu disponible (ajusté ou non)</w:t>
      </w:r>
      <w:r w:rsidRPr="0009096E">
        <w:rPr>
          <w:rFonts w:asciiTheme="majorHAnsi" w:hAnsiTheme="majorHAnsi"/>
          <w:sz w:val="18"/>
          <w:szCs w:val="18"/>
        </w:rPr>
        <w:t xml:space="preserve"> débouchent sur un même agrégat, </w:t>
      </w:r>
      <w:r w:rsidRPr="0009096E">
        <w:rPr>
          <w:rFonts w:asciiTheme="majorHAnsi" w:hAnsiTheme="majorHAnsi"/>
          <w:bCs/>
          <w:sz w:val="18"/>
          <w:szCs w:val="18"/>
        </w:rPr>
        <w:t>l'épargne</w:t>
      </w:r>
      <w:r w:rsidRPr="0009096E">
        <w:rPr>
          <w:rFonts w:asciiTheme="majorHAnsi" w:hAnsiTheme="majorHAnsi"/>
          <w:sz w:val="18"/>
          <w:szCs w:val="18"/>
        </w:rPr>
        <w:t>.</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641"/>
      <w:gridCol w:w="1230"/>
    </w:tblGrid>
    <w:tr w:rsidR="005E2721">
      <w:trPr>
        <w:trHeight w:val="288"/>
      </w:trPr>
      <w:tc>
        <w:tcPr>
          <w:tcW w:w="7765" w:type="dxa"/>
        </w:tcPr>
        <w:p w:rsidR="005E2721" w:rsidRDefault="005E2721">
          <w:pPr>
            <w:pStyle w:val="Header"/>
            <w:jc w:val="right"/>
            <w:rPr>
              <w:rFonts w:asciiTheme="majorHAnsi" w:eastAsiaTheme="majorEastAsia" w:hAnsiTheme="majorHAnsi" w:cstheme="majorBidi"/>
              <w:sz w:val="36"/>
              <w:szCs w:val="36"/>
            </w:rPr>
          </w:pPr>
          <w:r w:rsidRPr="00881D48">
            <w:rPr>
              <w:rFonts w:asciiTheme="majorHAnsi" w:eastAsiaTheme="majorEastAsia" w:hAnsiTheme="majorHAnsi" w:cstheme="majorBidi"/>
              <w:sz w:val="16"/>
              <w:szCs w:val="16"/>
            </w:rPr>
            <w:t>Brigitte Engelhardt-Bitrian    Economie Politique</w:t>
          </w:r>
        </w:p>
      </w:tc>
      <w:tc>
        <w:tcPr>
          <w:tcW w:w="1105" w:type="dxa"/>
        </w:tcPr>
        <w:p w:rsidR="005E2721" w:rsidRDefault="005E2721" w:rsidP="00F93AB1">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sz w:val="16"/>
              <w:szCs w:val="16"/>
            </w:rPr>
            <w:t>2011-2012</w:t>
          </w:r>
        </w:p>
      </w:tc>
    </w:tr>
  </w:tbl>
  <w:p w:rsidR="005E2721" w:rsidRDefault="005E2721">
    <w:pPr>
      <w:pStyle w:val="Header"/>
      <w:rPr>
        <w:sz w:val="16"/>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3310CB"/>
    <w:multiLevelType w:val="hybridMultilevel"/>
    <w:tmpl w:val="E73453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73F3A3B"/>
    <w:multiLevelType w:val="hybridMultilevel"/>
    <w:tmpl w:val="5F58269A"/>
    <w:lvl w:ilvl="0" w:tplc="040C0001">
      <w:start w:val="1"/>
      <w:numFmt w:val="bullet"/>
      <w:lvlText w:val=""/>
      <w:lvlJc w:val="left"/>
      <w:pPr>
        <w:ind w:left="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
    <w:nsid w:val="0B92055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1E8753D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31AA14D1"/>
    <w:multiLevelType w:val="hybridMultilevel"/>
    <w:tmpl w:val="7772C6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38110A1"/>
    <w:multiLevelType w:val="hybridMultilevel"/>
    <w:tmpl w:val="34AAAE54"/>
    <w:lvl w:ilvl="0" w:tplc="040C000D">
      <w:start w:val="1"/>
      <w:numFmt w:val="bullet"/>
      <w:lvlText w:val=""/>
      <w:lvlJc w:val="left"/>
      <w:pPr>
        <w:ind w:left="717" w:hanging="360"/>
      </w:pPr>
      <w:rPr>
        <w:rFonts w:ascii="Wingdings" w:hAnsi="Wingdings"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6">
    <w:nsid w:val="37D93FDC"/>
    <w:multiLevelType w:val="singleLevel"/>
    <w:tmpl w:val="0106BAE4"/>
    <w:lvl w:ilvl="0">
      <w:start w:val="1"/>
      <w:numFmt w:val="decimal"/>
      <w:lvlText w:val="%1."/>
      <w:lvlJc w:val="left"/>
      <w:pPr>
        <w:tabs>
          <w:tab w:val="num" w:pos="1069"/>
        </w:tabs>
        <w:ind w:left="1069" w:hanging="360"/>
      </w:pPr>
      <w:rPr>
        <w:rFonts w:hint="default"/>
      </w:rPr>
    </w:lvl>
  </w:abstractNum>
  <w:abstractNum w:abstractNumId="7">
    <w:nsid w:val="38AA17A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nsid w:val="3A0D53EE"/>
    <w:multiLevelType w:val="hybridMultilevel"/>
    <w:tmpl w:val="4912CBD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3D3E2E1B"/>
    <w:multiLevelType w:val="hybridMultilevel"/>
    <w:tmpl w:val="2006C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ED4095D"/>
    <w:multiLevelType w:val="singleLevel"/>
    <w:tmpl w:val="040C0001"/>
    <w:lvl w:ilvl="0">
      <w:start w:val="1"/>
      <w:numFmt w:val="bullet"/>
      <w:lvlText w:val=""/>
      <w:lvlJc w:val="left"/>
      <w:pPr>
        <w:ind w:left="1495" w:hanging="360"/>
      </w:pPr>
      <w:rPr>
        <w:rFonts w:ascii="Symbol" w:hAnsi="Symbol" w:hint="default"/>
      </w:rPr>
    </w:lvl>
  </w:abstractNum>
  <w:abstractNum w:abstractNumId="11">
    <w:nsid w:val="48B165B3"/>
    <w:multiLevelType w:val="singleLevel"/>
    <w:tmpl w:val="0106BAE4"/>
    <w:lvl w:ilvl="0">
      <w:start w:val="1"/>
      <w:numFmt w:val="decimal"/>
      <w:lvlText w:val="%1."/>
      <w:lvlJc w:val="left"/>
      <w:pPr>
        <w:tabs>
          <w:tab w:val="num" w:pos="1069"/>
        </w:tabs>
        <w:ind w:left="1069" w:hanging="360"/>
      </w:pPr>
      <w:rPr>
        <w:rFonts w:hint="default"/>
      </w:rPr>
    </w:lvl>
  </w:abstractNum>
  <w:abstractNum w:abstractNumId="12">
    <w:nsid w:val="51EE5BE7"/>
    <w:multiLevelType w:val="singleLevel"/>
    <w:tmpl w:val="B588A692"/>
    <w:lvl w:ilvl="0">
      <w:start w:val="1"/>
      <w:numFmt w:val="bullet"/>
      <w:lvlText w:val=""/>
      <w:lvlJc w:val="left"/>
      <w:pPr>
        <w:tabs>
          <w:tab w:val="num" w:pos="1353"/>
        </w:tabs>
        <w:ind w:left="1353" w:hanging="360"/>
      </w:pPr>
      <w:rPr>
        <w:rFonts w:ascii="Wingdings" w:hAnsi="Wingdings" w:hint="default"/>
      </w:rPr>
    </w:lvl>
  </w:abstractNum>
  <w:abstractNum w:abstractNumId="13">
    <w:nsid w:val="544347B9"/>
    <w:multiLevelType w:val="hybridMultilevel"/>
    <w:tmpl w:val="7B40E73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556134C6"/>
    <w:multiLevelType w:val="hybridMultilevel"/>
    <w:tmpl w:val="85E65F8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586D0B7A"/>
    <w:multiLevelType w:val="hybridMultilevel"/>
    <w:tmpl w:val="0E54114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6D9127F4"/>
    <w:multiLevelType w:val="hybridMultilevel"/>
    <w:tmpl w:val="E5F46B8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6ED3538E"/>
    <w:multiLevelType w:val="hybridMultilevel"/>
    <w:tmpl w:val="5A4475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6F2369B4"/>
    <w:multiLevelType w:val="hybridMultilevel"/>
    <w:tmpl w:val="8104E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77768BE"/>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1"/>
  </w:num>
  <w:num w:numId="4">
    <w:abstractNumId w:val="6"/>
  </w:num>
  <w:num w:numId="5">
    <w:abstractNumId w:val="16"/>
  </w:num>
  <w:num w:numId="6">
    <w:abstractNumId w:val="8"/>
  </w:num>
  <w:num w:numId="7">
    <w:abstractNumId w:val="13"/>
  </w:num>
  <w:num w:numId="8">
    <w:abstractNumId w:val="18"/>
  </w:num>
  <w:num w:numId="9">
    <w:abstractNumId w:val="9"/>
  </w:num>
  <w:num w:numId="10">
    <w:abstractNumId w:val="14"/>
  </w:num>
  <w:num w:numId="11">
    <w:abstractNumId w:val="15"/>
  </w:num>
  <w:num w:numId="12">
    <w:abstractNumId w:val="12"/>
  </w:num>
  <w:num w:numId="13">
    <w:abstractNumId w:val="10"/>
  </w:num>
  <w:num w:numId="14">
    <w:abstractNumId w:val="5"/>
  </w:num>
  <w:num w:numId="15">
    <w:abstractNumId w:val="7"/>
  </w:num>
  <w:num w:numId="16">
    <w:abstractNumId w:val="19"/>
  </w:num>
  <w:num w:numId="17">
    <w:abstractNumId w:val="4"/>
  </w:num>
  <w:num w:numId="18">
    <w:abstractNumId w:val="1"/>
  </w:num>
  <w:num w:numId="19">
    <w:abstractNumId w:val="1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drawingGridHorizontalSpacing w:val="8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F93AB1"/>
    <w:rsid w:val="000166A8"/>
    <w:rsid w:val="0008017B"/>
    <w:rsid w:val="0009096E"/>
    <w:rsid w:val="000969AA"/>
    <w:rsid w:val="000F4411"/>
    <w:rsid w:val="00122176"/>
    <w:rsid w:val="001A5A23"/>
    <w:rsid w:val="001C39F3"/>
    <w:rsid w:val="00203C1C"/>
    <w:rsid w:val="00233B0F"/>
    <w:rsid w:val="002601E4"/>
    <w:rsid w:val="002632BE"/>
    <w:rsid w:val="00277A66"/>
    <w:rsid w:val="002924D1"/>
    <w:rsid w:val="002A32F5"/>
    <w:rsid w:val="002A374B"/>
    <w:rsid w:val="002B314E"/>
    <w:rsid w:val="002B33BB"/>
    <w:rsid w:val="002B38DA"/>
    <w:rsid w:val="002C15B4"/>
    <w:rsid w:val="002D64DE"/>
    <w:rsid w:val="002E4FA3"/>
    <w:rsid w:val="00327E07"/>
    <w:rsid w:val="00357F4C"/>
    <w:rsid w:val="003A5186"/>
    <w:rsid w:val="00432BCA"/>
    <w:rsid w:val="00433133"/>
    <w:rsid w:val="00465895"/>
    <w:rsid w:val="004D4E03"/>
    <w:rsid w:val="004D6CFC"/>
    <w:rsid w:val="005125E2"/>
    <w:rsid w:val="00515E45"/>
    <w:rsid w:val="005556A5"/>
    <w:rsid w:val="00557EF8"/>
    <w:rsid w:val="005757FE"/>
    <w:rsid w:val="00580FD8"/>
    <w:rsid w:val="005923F0"/>
    <w:rsid w:val="005E2721"/>
    <w:rsid w:val="005E7E39"/>
    <w:rsid w:val="005F3D7B"/>
    <w:rsid w:val="00601EF5"/>
    <w:rsid w:val="00616316"/>
    <w:rsid w:val="0064692E"/>
    <w:rsid w:val="00667E75"/>
    <w:rsid w:val="00670B0E"/>
    <w:rsid w:val="006836A6"/>
    <w:rsid w:val="006B1946"/>
    <w:rsid w:val="006B4E8D"/>
    <w:rsid w:val="006C4B0D"/>
    <w:rsid w:val="00734014"/>
    <w:rsid w:val="007420B4"/>
    <w:rsid w:val="0076022E"/>
    <w:rsid w:val="00771313"/>
    <w:rsid w:val="00774498"/>
    <w:rsid w:val="007822A1"/>
    <w:rsid w:val="00806B6A"/>
    <w:rsid w:val="0081049F"/>
    <w:rsid w:val="00835958"/>
    <w:rsid w:val="008827F2"/>
    <w:rsid w:val="0088396F"/>
    <w:rsid w:val="008A74EA"/>
    <w:rsid w:val="008E646E"/>
    <w:rsid w:val="00A201B8"/>
    <w:rsid w:val="00A37D1C"/>
    <w:rsid w:val="00A83D15"/>
    <w:rsid w:val="00AA4280"/>
    <w:rsid w:val="00AB48AC"/>
    <w:rsid w:val="00AD6C4A"/>
    <w:rsid w:val="00AF2494"/>
    <w:rsid w:val="00B202CD"/>
    <w:rsid w:val="00B367C5"/>
    <w:rsid w:val="00B53010"/>
    <w:rsid w:val="00BD79A0"/>
    <w:rsid w:val="00BF5711"/>
    <w:rsid w:val="00C06405"/>
    <w:rsid w:val="00C14826"/>
    <w:rsid w:val="00C40C9F"/>
    <w:rsid w:val="00C57B76"/>
    <w:rsid w:val="00C81D2F"/>
    <w:rsid w:val="00CB7704"/>
    <w:rsid w:val="00CC7F5B"/>
    <w:rsid w:val="00DB622C"/>
    <w:rsid w:val="00DC2F48"/>
    <w:rsid w:val="00DE3656"/>
    <w:rsid w:val="00E237DE"/>
    <w:rsid w:val="00E274A0"/>
    <w:rsid w:val="00E31045"/>
    <w:rsid w:val="00E37637"/>
    <w:rsid w:val="00E62A81"/>
    <w:rsid w:val="00EE79A7"/>
    <w:rsid w:val="00F111B7"/>
    <w:rsid w:val="00F111E2"/>
    <w:rsid w:val="00F122D4"/>
    <w:rsid w:val="00F308F2"/>
    <w:rsid w:val="00F71B5F"/>
    <w:rsid w:val="00F91A20"/>
    <w:rsid w:val="00F93AB1"/>
    <w:rsid w:val="00FB2846"/>
    <w:rsid w:val="00FD06CD"/>
    <w:rsid w:val="00FF0C18"/>
  </w:rsids>
  <m:mathPr>
    <m:mathFont m:val="Lucida Grande"/>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fr-FR" w:eastAsia="en-US" w:bidi="ar-SA"/>
      </w:rPr>
    </w:rPrDefault>
    <w:pPrDefault>
      <w:pPr>
        <w:ind w:firstLine="709"/>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B1"/>
    <w:pPr>
      <w:ind w:firstLine="0"/>
      <w:jc w:val="left"/>
    </w:pPr>
    <w:rPr>
      <w:rFonts w:ascii="Trebuchet MS" w:eastAsia="Times New Roman" w:hAnsi="Trebuchet MS" w:cs="Times New Roman"/>
      <w:sz w:val="20"/>
      <w:szCs w:val="20"/>
      <w:lang w:eastAsia="fr-FR"/>
    </w:rPr>
  </w:style>
  <w:style w:type="paragraph" w:styleId="Heading1">
    <w:name w:val="heading 1"/>
    <w:basedOn w:val="Normal"/>
    <w:next w:val="Normal"/>
    <w:link w:val="Heading1Char"/>
    <w:qFormat/>
    <w:rsid w:val="00F93AB1"/>
    <w:pPr>
      <w:keepNext/>
      <w:jc w:val="center"/>
      <w:outlineLvl w:val="0"/>
    </w:pPr>
    <w:rPr>
      <w:rFonts w:ascii="Times New Roman" w:hAnsi="Times New Roman"/>
      <w:b/>
      <w:sz w:val="24"/>
    </w:rPr>
  </w:style>
  <w:style w:type="paragraph" w:styleId="Heading2">
    <w:name w:val="heading 2"/>
    <w:basedOn w:val="Normal"/>
    <w:next w:val="Normal"/>
    <w:link w:val="Heading2Char"/>
    <w:qFormat/>
    <w:rsid w:val="00F93AB1"/>
    <w:pPr>
      <w:keepNext/>
      <w:jc w:val="center"/>
      <w:outlineLvl w:val="1"/>
    </w:pPr>
    <w:rPr>
      <w:rFonts w:ascii="Times New Roman" w:hAnsi="Times New Roman"/>
      <w:b/>
      <w:i/>
      <w:sz w:val="24"/>
    </w:rPr>
  </w:style>
  <w:style w:type="paragraph" w:styleId="Heading4">
    <w:name w:val="heading 4"/>
    <w:basedOn w:val="Normal"/>
    <w:next w:val="Normal"/>
    <w:link w:val="Heading4Char"/>
    <w:qFormat/>
    <w:rsid w:val="00F93AB1"/>
    <w:pPr>
      <w:keepNext/>
      <w:outlineLvl w:val="3"/>
    </w:pPr>
    <w:rPr>
      <w:rFonts w:ascii="Times New Roman" w:hAnsi="Times New Roman"/>
      <w:sz w:val="24"/>
    </w:rPr>
  </w:style>
  <w:style w:type="paragraph" w:styleId="Heading5">
    <w:name w:val="heading 5"/>
    <w:basedOn w:val="Normal"/>
    <w:next w:val="Normal"/>
    <w:link w:val="Heading5Char"/>
    <w:qFormat/>
    <w:rsid w:val="00F93AB1"/>
    <w:pPr>
      <w:keepNext/>
      <w:jc w:val="center"/>
      <w:outlineLvl w:val="4"/>
    </w:pPr>
    <w:rPr>
      <w:b/>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93AB1"/>
    <w:rPr>
      <w:rFonts w:ascii="Times New Roman" w:eastAsia="Times New Roman" w:hAnsi="Times New Roman" w:cs="Times New Roman"/>
      <w:b/>
      <w:sz w:val="24"/>
      <w:szCs w:val="20"/>
      <w:lang w:eastAsia="fr-FR"/>
    </w:rPr>
  </w:style>
  <w:style w:type="character" w:customStyle="1" w:styleId="Heading2Char">
    <w:name w:val="Heading 2 Char"/>
    <w:basedOn w:val="DefaultParagraphFont"/>
    <w:link w:val="Heading2"/>
    <w:rsid w:val="00F93AB1"/>
    <w:rPr>
      <w:rFonts w:ascii="Times New Roman" w:eastAsia="Times New Roman" w:hAnsi="Times New Roman" w:cs="Times New Roman"/>
      <w:b/>
      <w:i/>
      <w:sz w:val="24"/>
      <w:szCs w:val="20"/>
      <w:lang w:eastAsia="fr-FR"/>
    </w:rPr>
  </w:style>
  <w:style w:type="character" w:customStyle="1" w:styleId="Heading4Char">
    <w:name w:val="Heading 4 Char"/>
    <w:basedOn w:val="DefaultParagraphFont"/>
    <w:link w:val="Heading4"/>
    <w:rsid w:val="00F93AB1"/>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sid w:val="00F93AB1"/>
    <w:rPr>
      <w:rFonts w:ascii="Trebuchet MS" w:eastAsia="Times New Roman" w:hAnsi="Trebuchet MS" w:cs="Times New Roman"/>
      <w:b/>
      <w:szCs w:val="20"/>
      <w:lang w:eastAsia="fr-FR"/>
    </w:rPr>
  </w:style>
  <w:style w:type="paragraph" w:styleId="BodyTextIndent3">
    <w:name w:val="Body Text Indent 3"/>
    <w:basedOn w:val="Normal"/>
    <w:link w:val="BodyTextIndent3Char"/>
    <w:semiHidden/>
    <w:rsid w:val="00F93AB1"/>
    <w:pPr>
      <w:ind w:firstLine="709"/>
      <w:jc w:val="right"/>
    </w:pPr>
    <w:rPr>
      <w:rFonts w:ascii="Times New Roman" w:hAnsi="Times New Roman"/>
      <w:b/>
      <w:sz w:val="32"/>
    </w:rPr>
  </w:style>
  <w:style w:type="character" w:customStyle="1" w:styleId="BodyTextIndent3Char">
    <w:name w:val="Body Text Indent 3 Char"/>
    <w:basedOn w:val="DefaultParagraphFont"/>
    <w:link w:val="BodyTextIndent3"/>
    <w:semiHidden/>
    <w:rsid w:val="00F93AB1"/>
    <w:rPr>
      <w:rFonts w:ascii="Times New Roman" w:eastAsia="Times New Roman" w:hAnsi="Times New Roman" w:cs="Times New Roman"/>
      <w:b/>
      <w:sz w:val="32"/>
      <w:szCs w:val="20"/>
      <w:lang w:eastAsia="fr-FR"/>
    </w:rPr>
  </w:style>
  <w:style w:type="character" w:styleId="FootnoteReference">
    <w:name w:val="footnote reference"/>
    <w:basedOn w:val="DefaultParagraphFont"/>
    <w:semiHidden/>
    <w:rsid w:val="00F93AB1"/>
    <w:rPr>
      <w:vertAlign w:val="superscript"/>
    </w:rPr>
  </w:style>
  <w:style w:type="paragraph" w:styleId="BodyTextIndent">
    <w:name w:val="Body Text Indent"/>
    <w:basedOn w:val="Normal"/>
    <w:link w:val="BodyTextIndentChar"/>
    <w:semiHidden/>
    <w:rsid w:val="00F93AB1"/>
    <w:pPr>
      <w:ind w:firstLine="709"/>
      <w:jc w:val="both"/>
    </w:pPr>
    <w:rPr>
      <w:rFonts w:ascii="Times New Roman" w:hAnsi="Times New Roman"/>
      <w:sz w:val="24"/>
    </w:rPr>
  </w:style>
  <w:style w:type="character" w:customStyle="1" w:styleId="BodyTextIndentChar">
    <w:name w:val="Body Text Indent Char"/>
    <w:basedOn w:val="DefaultParagraphFont"/>
    <w:link w:val="BodyTextIndent"/>
    <w:semiHidden/>
    <w:rsid w:val="00F93AB1"/>
    <w:rPr>
      <w:rFonts w:ascii="Times New Roman" w:eastAsia="Times New Roman" w:hAnsi="Times New Roman" w:cs="Times New Roman"/>
      <w:sz w:val="24"/>
      <w:szCs w:val="20"/>
      <w:lang w:eastAsia="fr-FR"/>
    </w:rPr>
  </w:style>
  <w:style w:type="paragraph" w:styleId="BodyTextIndent2">
    <w:name w:val="Body Text Indent 2"/>
    <w:basedOn w:val="Normal"/>
    <w:link w:val="BodyTextIndent2Char"/>
    <w:semiHidden/>
    <w:rsid w:val="00F93AB1"/>
    <w:pPr>
      <w:ind w:firstLine="709"/>
    </w:pPr>
    <w:rPr>
      <w:rFonts w:ascii="Times New Roman" w:hAnsi="Times New Roman"/>
      <w:sz w:val="24"/>
    </w:rPr>
  </w:style>
  <w:style w:type="character" w:customStyle="1" w:styleId="BodyTextIndent2Char">
    <w:name w:val="Body Text Indent 2 Char"/>
    <w:basedOn w:val="DefaultParagraphFont"/>
    <w:link w:val="BodyTextIndent2"/>
    <w:semiHidden/>
    <w:rsid w:val="00F93AB1"/>
    <w:rPr>
      <w:rFonts w:ascii="Times New Roman" w:eastAsia="Times New Roman" w:hAnsi="Times New Roman" w:cs="Times New Roman"/>
      <w:sz w:val="24"/>
      <w:szCs w:val="20"/>
      <w:lang w:eastAsia="fr-FR"/>
    </w:rPr>
  </w:style>
  <w:style w:type="paragraph" w:styleId="FootnoteText">
    <w:name w:val="footnote text"/>
    <w:basedOn w:val="Normal"/>
    <w:link w:val="FootnoteTextChar"/>
    <w:semiHidden/>
    <w:rsid w:val="00F93AB1"/>
    <w:rPr>
      <w:rFonts w:ascii="Times New Roman" w:hAnsi="Times New Roman"/>
    </w:rPr>
  </w:style>
  <w:style w:type="character" w:customStyle="1" w:styleId="FootnoteTextChar">
    <w:name w:val="Footnote Text Char"/>
    <w:basedOn w:val="DefaultParagraphFont"/>
    <w:link w:val="FootnoteText"/>
    <w:semiHidden/>
    <w:rsid w:val="00F93AB1"/>
    <w:rPr>
      <w:rFonts w:ascii="Times New Roman" w:eastAsia="Times New Roman" w:hAnsi="Times New Roman" w:cs="Times New Roman"/>
      <w:sz w:val="20"/>
      <w:szCs w:val="20"/>
      <w:lang w:eastAsia="fr-FR"/>
    </w:rPr>
  </w:style>
  <w:style w:type="paragraph" w:styleId="Header">
    <w:name w:val="header"/>
    <w:basedOn w:val="Normal"/>
    <w:link w:val="HeaderChar"/>
    <w:uiPriority w:val="99"/>
    <w:rsid w:val="00F93AB1"/>
    <w:pPr>
      <w:tabs>
        <w:tab w:val="center" w:pos="4536"/>
        <w:tab w:val="right" w:pos="9072"/>
      </w:tabs>
    </w:pPr>
  </w:style>
  <w:style w:type="character" w:customStyle="1" w:styleId="HeaderChar">
    <w:name w:val="Header Char"/>
    <w:basedOn w:val="DefaultParagraphFont"/>
    <w:link w:val="Header"/>
    <w:uiPriority w:val="99"/>
    <w:rsid w:val="00F93AB1"/>
    <w:rPr>
      <w:rFonts w:ascii="Trebuchet MS" w:eastAsia="Times New Roman" w:hAnsi="Trebuchet MS" w:cs="Times New Roman"/>
      <w:sz w:val="20"/>
      <w:szCs w:val="20"/>
      <w:lang w:eastAsia="fr-FR"/>
    </w:rPr>
  </w:style>
  <w:style w:type="paragraph" w:styleId="Footer">
    <w:name w:val="footer"/>
    <w:basedOn w:val="Normal"/>
    <w:link w:val="FooterChar"/>
    <w:uiPriority w:val="99"/>
    <w:rsid w:val="00F93AB1"/>
    <w:pPr>
      <w:tabs>
        <w:tab w:val="center" w:pos="4536"/>
        <w:tab w:val="right" w:pos="9072"/>
      </w:tabs>
    </w:pPr>
  </w:style>
  <w:style w:type="character" w:customStyle="1" w:styleId="FooterChar">
    <w:name w:val="Footer Char"/>
    <w:basedOn w:val="DefaultParagraphFont"/>
    <w:link w:val="Footer"/>
    <w:uiPriority w:val="99"/>
    <w:rsid w:val="00F93AB1"/>
    <w:rPr>
      <w:rFonts w:ascii="Trebuchet MS" w:eastAsia="Times New Roman" w:hAnsi="Trebuchet MS" w:cs="Times New Roman"/>
      <w:sz w:val="20"/>
      <w:szCs w:val="20"/>
      <w:lang w:eastAsia="fr-FR"/>
    </w:rPr>
  </w:style>
  <w:style w:type="paragraph" w:styleId="ListParagraph">
    <w:name w:val="List Paragraph"/>
    <w:basedOn w:val="Normal"/>
    <w:uiPriority w:val="34"/>
    <w:qFormat/>
    <w:rsid w:val="00F93AB1"/>
    <w:pPr>
      <w:ind w:left="720"/>
      <w:contextualSpacing/>
    </w:pPr>
  </w:style>
  <w:style w:type="paragraph" w:styleId="BalloonText">
    <w:name w:val="Balloon Text"/>
    <w:basedOn w:val="Normal"/>
    <w:link w:val="BalloonTextChar"/>
    <w:uiPriority w:val="99"/>
    <w:semiHidden/>
    <w:unhideWhenUsed/>
    <w:rsid w:val="00F93AB1"/>
    <w:rPr>
      <w:rFonts w:ascii="Tahoma" w:hAnsi="Tahoma" w:cs="Tahoma"/>
      <w:sz w:val="16"/>
      <w:szCs w:val="16"/>
    </w:rPr>
  </w:style>
  <w:style w:type="character" w:customStyle="1" w:styleId="BalloonTextChar">
    <w:name w:val="Balloon Text Char"/>
    <w:basedOn w:val="DefaultParagraphFont"/>
    <w:link w:val="BalloonText"/>
    <w:uiPriority w:val="99"/>
    <w:semiHidden/>
    <w:rsid w:val="00F93AB1"/>
    <w:rPr>
      <w:rFonts w:ascii="Tahoma" w:eastAsia="Times New Roman" w:hAnsi="Tahoma" w:cs="Tahoma"/>
      <w:sz w:val="16"/>
      <w:szCs w:val="16"/>
      <w:lang w:eastAsia="fr-FR"/>
    </w:rPr>
  </w:style>
  <w:style w:type="paragraph" w:styleId="Caption">
    <w:name w:val="caption"/>
    <w:basedOn w:val="Normal"/>
    <w:next w:val="Normal"/>
    <w:uiPriority w:val="35"/>
    <w:unhideWhenUsed/>
    <w:qFormat/>
    <w:rsid w:val="00F93AB1"/>
    <w:pPr>
      <w:spacing w:after="200"/>
    </w:pPr>
    <w:rPr>
      <w:b/>
      <w:bCs/>
      <w:color w:val="4F81BD" w:themeColor="accent1"/>
      <w:sz w:val="18"/>
      <w:szCs w:val="18"/>
    </w:rPr>
  </w:style>
  <w:style w:type="character" w:styleId="PlaceholderText">
    <w:name w:val="Placeholder Text"/>
    <w:basedOn w:val="DefaultParagraphFont"/>
    <w:uiPriority w:val="99"/>
    <w:semiHidden/>
    <w:rsid w:val="00FF0C1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0546352">
      <w:bodyDiv w:val="1"/>
      <w:marLeft w:val="0"/>
      <w:marRight w:val="0"/>
      <w:marTop w:val="0"/>
      <w:marBottom w:val="0"/>
      <w:divBdr>
        <w:top w:val="none" w:sz="0" w:space="0" w:color="auto"/>
        <w:left w:val="none" w:sz="0" w:space="0" w:color="auto"/>
        <w:bottom w:val="none" w:sz="0" w:space="0" w:color="auto"/>
        <w:right w:val="none" w:sz="0" w:space="0" w:color="auto"/>
      </w:divBdr>
    </w:div>
    <w:div w:id="453714407">
      <w:bodyDiv w:val="1"/>
      <w:marLeft w:val="0"/>
      <w:marRight w:val="0"/>
      <w:marTop w:val="0"/>
      <w:marBottom w:val="0"/>
      <w:divBdr>
        <w:top w:val="none" w:sz="0" w:space="0" w:color="auto"/>
        <w:left w:val="none" w:sz="0" w:space="0" w:color="auto"/>
        <w:bottom w:val="none" w:sz="0" w:space="0" w:color="auto"/>
        <w:right w:val="none" w:sz="0" w:space="0" w:color="auto"/>
      </w:divBdr>
    </w:div>
    <w:div w:id="1155730441">
      <w:bodyDiv w:val="1"/>
      <w:marLeft w:val="0"/>
      <w:marRight w:val="0"/>
      <w:marTop w:val="0"/>
      <w:marBottom w:val="0"/>
      <w:divBdr>
        <w:top w:val="none" w:sz="0" w:space="0" w:color="auto"/>
        <w:left w:val="none" w:sz="0" w:space="0" w:color="auto"/>
        <w:bottom w:val="none" w:sz="0" w:space="0" w:color="auto"/>
        <w:right w:val="none" w:sz="0" w:space="0" w:color="auto"/>
      </w:divBdr>
    </w:div>
    <w:div w:id="1258320589">
      <w:bodyDiv w:val="1"/>
      <w:marLeft w:val="0"/>
      <w:marRight w:val="0"/>
      <w:marTop w:val="0"/>
      <w:marBottom w:val="0"/>
      <w:divBdr>
        <w:top w:val="none" w:sz="0" w:space="0" w:color="auto"/>
        <w:left w:val="none" w:sz="0" w:space="0" w:color="auto"/>
        <w:bottom w:val="none" w:sz="0" w:space="0" w:color="auto"/>
        <w:right w:val="none" w:sz="0" w:space="0" w:color="auto"/>
      </w:divBdr>
    </w:div>
    <w:div w:id="131290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chart" Target="charts/chart6.xml"/><Relationship Id="rId16" Type="http://schemas.openxmlformats.org/officeDocument/2006/relationships/chart" Target="charts/chart7.xml"/><Relationship Id="rId17" Type="http://schemas.openxmlformats.org/officeDocument/2006/relationships/chart" Target="charts/chart8.xml"/><Relationship Id="rId18" Type="http://schemas.openxmlformats.org/officeDocument/2006/relationships/chart" Target="charts/chart9.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D:\IUT\BB%202011-2012\Economie%202011-2012\Dossier%20TD\Ratios%20SNF%202000-20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UT\BB%202011-2012\Economie%202011-2012\Dossier%20TD\Ratios%20SNF%202000-20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UT\BB%202011-2012\Economie%202011-2012\Dossier%20TD\Ratios%20SNF%202000-20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IUT\BB%202011-2012\Economie%202011-2012\Dossier%20TD\Ratios%20SNF%202000-201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UT\BB%202011-2012\Economie%202011-2012\Dossier%20TD\Ratios%20SNF%202000-201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IUT\BB%202011-2012\Economie%202011-2012\Dossier%20TD\Ratios%20SNF%202000-201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IUT\BB%202011-2012\Economie%202011-2012\Dossier%20TD\Ratios%20SNF%202000-201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IUT\BB%202011-2012\Economie%202011-2012\Dossier%20TD\Ratios%20SNF%202000-201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2"/>
  <c:chart>
    <c:title>
      <c:txPr>
        <a:bodyPr/>
        <a:lstStyle/>
        <a:p>
          <a:pPr>
            <a:defRPr lang="fr-FR" sz="1000"/>
          </a:pPr>
          <a:endParaRPr lang="en-US"/>
        </a:p>
      </c:txPr>
    </c:title>
    <c:plotArea>
      <c:layout/>
      <c:lineChart>
        <c:grouping val="standard"/>
        <c:ser>
          <c:idx val="0"/>
          <c:order val="0"/>
          <c:tx>
            <c:strRef>
              <c:f>Feuil1!$A$3</c:f>
              <c:strCache>
                <c:ptCount val="1"/>
                <c:pt idx="0">
                  <c:v>VAB/PIB</c:v>
                </c:pt>
              </c:strCache>
            </c:strRef>
          </c:tx>
          <c:cat>
            <c:numRef>
              <c:f>Feuil1!$B$1:$L$1</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Feuil1!$B$3:$L$3</c:f>
              <c:numCache>
                <c:formatCode>General</c:formatCode>
                <c:ptCount val="11"/>
                <c:pt idx="0">
                  <c:v>50.1</c:v>
                </c:pt>
                <c:pt idx="1">
                  <c:v>50.2</c:v>
                </c:pt>
                <c:pt idx="2">
                  <c:v>50.2</c:v>
                </c:pt>
                <c:pt idx="3">
                  <c:v>50.6</c:v>
                </c:pt>
                <c:pt idx="4">
                  <c:v>50.7</c:v>
                </c:pt>
                <c:pt idx="5">
                  <c:v>50.8</c:v>
                </c:pt>
                <c:pt idx="6">
                  <c:v>50.7</c:v>
                </c:pt>
                <c:pt idx="7">
                  <c:v>51.2</c:v>
                </c:pt>
                <c:pt idx="8">
                  <c:v>51.5</c:v>
                </c:pt>
                <c:pt idx="9">
                  <c:v>50.5</c:v>
                </c:pt>
                <c:pt idx="10">
                  <c:v>50.3</c:v>
                </c:pt>
              </c:numCache>
            </c:numRef>
          </c:val>
        </c:ser>
        <c:dLbls/>
        <c:marker val="1"/>
        <c:axId val="568807464"/>
        <c:axId val="522000472"/>
      </c:lineChart>
      <c:catAx>
        <c:axId val="568807464"/>
        <c:scaling>
          <c:orientation val="minMax"/>
        </c:scaling>
        <c:axPos val="b"/>
        <c:majorGridlines/>
        <c:numFmt formatCode="General" sourceLinked="1"/>
        <c:tickLblPos val="nextTo"/>
        <c:txPr>
          <a:bodyPr/>
          <a:lstStyle/>
          <a:p>
            <a:pPr>
              <a:defRPr lang="fr-FR"/>
            </a:pPr>
            <a:endParaRPr lang="en-US"/>
          </a:p>
        </c:txPr>
        <c:crossAx val="522000472"/>
        <c:crosses val="autoZero"/>
        <c:auto val="1"/>
        <c:lblAlgn val="ctr"/>
        <c:lblOffset val="100"/>
      </c:catAx>
      <c:valAx>
        <c:axId val="522000472"/>
        <c:scaling>
          <c:orientation val="minMax"/>
        </c:scaling>
        <c:axPos val="l"/>
        <c:majorGridlines/>
        <c:minorGridlines/>
        <c:numFmt formatCode="General" sourceLinked="1"/>
        <c:tickLblPos val="nextTo"/>
        <c:txPr>
          <a:bodyPr/>
          <a:lstStyle/>
          <a:p>
            <a:pPr>
              <a:defRPr lang="fr-FR"/>
            </a:pPr>
            <a:endParaRPr lang="en-US"/>
          </a:p>
        </c:txPr>
        <c:crossAx val="568807464"/>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2"/>
  <c:chart>
    <c:title>
      <c:txPr>
        <a:bodyPr/>
        <a:lstStyle/>
        <a:p>
          <a:pPr>
            <a:defRPr lang="fr-FR" sz="1000"/>
          </a:pPr>
          <a:endParaRPr lang="en-US"/>
        </a:p>
      </c:txPr>
    </c:title>
    <c:plotArea>
      <c:layout/>
      <c:lineChart>
        <c:grouping val="standard"/>
        <c:ser>
          <c:idx val="0"/>
          <c:order val="0"/>
          <c:tx>
            <c:strRef>
              <c:f>Feuil1!$A$4</c:f>
              <c:strCache>
                <c:ptCount val="1"/>
                <c:pt idx="0">
                  <c:v>VAB/prod</c:v>
                </c:pt>
              </c:strCache>
            </c:strRef>
          </c:tx>
          <c:spPr>
            <a:ln>
              <a:solidFill>
                <a:srgbClr val="FF0000"/>
              </a:solidFill>
            </a:ln>
          </c:spPr>
          <c:marker>
            <c:spPr>
              <a:solidFill>
                <a:srgbClr val="FF0000"/>
              </a:solidFill>
            </c:spPr>
          </c:marker>
          <c:cat>
            <c:numRef>
              <c:f>Feuil1!$B$1:$L$1</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Feuil1!$B$4:$L$4</c:f>
              <c:numCache>
                <c:formatCode>General</c:formatCode>
                <c:ptCount val="11"/>
                <c:pt idx="0">
                  <c:v>39.7</c:v>
                </c:pt>
                <c:pt idx="1">
                  <c:v>39.7</c:v>
                </c:pt>
                <c:pt idx="2">
                  <c:v>40.4</c:v>
                </c:pt>
                <c:pt idx="3">
                  <c:v>41.1</c:v>
                </c:pt>
                <c:pt idx="4">
                  <c:v>40.8</c:v>
                </c:pt>
                <c:pt idx="5">
                  <c:v>40.4</c:v>
                </c:pt>
                <c:pt idx="6">
                  <c:v>39.8</c:v>
                </c:pt>
                <c:pt idx="7">
                  <c:v>39.8</c:v>
                </c:pt>
                <c:pt idx="8">
                  <c:v>39.7</c:v>
                </c:pt>
                <c:pt idx="9">
                  <c:v>41.2</c:v>
                </c:pt>
                <c:pt idx="10">
                  <c:v>40.4</c:v>
                </c:pt>
              </c:numCache>
            </c:numRef>
          </c:val>
        </c:ser>
        <c:dLbls/>
        <c:marker val="1"/>
        <c:axId val="567471096"/>
        <c:axId val="567898392"/>
      </c:lineChart>
      <c:catAx>
        <c:axId val="567471096"/>
        <c:scaling>
          <c:orientation val="minMax"/>
        </c:scaling>
        <c:axPos val="b"/>
        <c:majorGridlines/>
        <c:numFmt formatCode="General" sourceLinked="1"/>
        <c:tickLblPos val="nextTo"/>
        <c:txPr>
          <a:bodyPr/>
          <a:lstStyle/>
          <a:p>
            <a:pPr>
              <a:defRPr lang="fr-FR"/>
            </a:pPr>
            <a:endParaRPr lang="en-US"/>
          </a:p>
        </c:txPr>
        <c:crossAx val="567898392"/>
        <c:crosses val="autoZero"/>
        <c:auto val="1"/>
        <c:lblAlgn val="ctr"/>
        <c:lblOffset val="100"/>
      </c:catAx>
      <c:valAx>
        <c:axId val="567898392"/>
        <c:scaling>
          <c:orientation val="minMax"/>
        </c:scaling>
        <c:axPos val="l"/>
        <c:majorGridlines/>
        <c:minorGridlines/>
        <c:numFmt formatCode="General" sourceLinked="1"/>
        <c:tickLblPos val="nextTo"/>
        <c:txPr>
          <a:bodyPr/>
          <a:lstStyle/>
          <a:p>
            <a:pPr>
              <a:defRPr lang="fr-FR"/>
            </a:pPr>
            <a:endParaRPr lang="en-US"/>
          </a:p>
        </c:txPr>
        <c:crossAx val="567471096"/>
        <c:crosses val="autoZero"/>
        <c:crossBetween val="midCat"/>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2"/>
  <c:chart>
    <c:title>
      <c:txPr>
        <a:bodyPr/>
        <a:lstStyle/>
        <a:p>
          <a:pPr>
            <a:defRPr lang="fr-FR" sz="1000"/>
          </a:pPr>
          <a:endParaRPr lang="en-US"/>
        </a:p>
      </c:txPr>
    </c:title>
    <c:plotArea>
      <c:layout/>
      <c:lineChart>
        <c:grouping val="standard"/>
        <c:ser>
          <c:idx val="0"/>
          <c:order val="0"/>
          <c:tx>
            <c:strRef>
              <c:f>Feuil1!$A$5</c:f>
              <c:strCache>
                <c:ptCount val="1"/>
                <c:pt idx="0">
                  <c:v>Rem/VAB</c:v>
                </c:pt>
              </c:strCache>
            </c:strRef>
          </c:tx>
          <c:cat>
            <c:numRef>
              <c:f>Feuil1!$B$1:$L$1</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Feuil1!$B$5:$L$5</c:f>
              <c:numCache>
                <c:formatCode>General</c:formatCode>
                <c:ptCount val="11"/>
                <c:pt idx="0">
                  <c:v>65.1</c:v>
                </c:pt>
                <c:pt idx="1">
                  <c:v>65.3</c:v>
                </c:pt>
                <c:pt idx="2">
                  <c:v>66.0</c:v>
                </c:pt>
                <c:pt idx="3">
                  <c:v>65.9</c:v>
                </c:pt>
                <c:pt idx="4">
                  <c:v>65.5</c:v>
                </c:pt>
                <c:pt idx="5">
                  <c:v>65.3</c:v>
                </c:pt>
                <c:pt idx="6">
                  <c:v>65.6</c:v>
                </c:pt>
                <c:pt idx="7">
                  <c:v>64.6</c:v>
                </c:pt>
                <c:pt idx="8">
                  <c:v>64.9</c:v>
                </c:pt>
                <c:pt idx="9">
                  <c:v>66.7</c:v>
                </c:pt>
                <c:pt idx="10">
                  <c:v>66.8</c:v>
                </c:pt>
              </c:numCache>
            </c:numRef>
          </c:val>
        </c:ser>
        <c:dLbls/>
        <c:marker val="1"/>
        <c:axId val="567409736"/>
        <c:axId val="615423288"/>
      </c:lineChart>
      <c:catAx>
        <c:axId val="567409736"/>
        <c:scaling>
          <c:orientation val="minMax"/>
        </c:scaling>
        <c:axPos val="b"/>
        <c:majorGridlines/>
        <c:numFmt formatCode="General" sourceLinked="1"/>
        <c:tickLblPos val="nextTo"/>
        <c:txPr>
          <a:bodyPr/>
          <a:lstStyle/>
          <a:p>
            <a:pPr>
              <a:defRPr lang="fr-FR"/>
            </a:pPr>
            <a:endParaRPr lang="en-US"/>
          </a:p>
        </c:txPr>
        <c:crossAx val="615423288"/>
        <c:crosses val="autoZero"/>
        <c:auto val="1"/>
        <c:lblAlgn val="ctr"/>
        <c:lblOffset val="100"/>
      </c:catAx>
      <c:valAx>
        <c:axId val="615423288"/>
        <c:scaling>
          <c:orientation val="minMax"/>
        </c:scaling>
        <c:axPos val="l"/>
        <c:majorGridlines/>
        <c:minorGridlines/>
        <c:numFmt formatCode="General" sourceLinked="1"/>
        <c:tickLblPos val="nextTo"/>
        <c:txPr>
          <a:bodyPr/>
          <a:lstStyle/>
          <a:p>
            <a:pPr>
              <a:defRPr lang="fr-FR"/>
            </a:pPr>
            <a:endParaRPr lang="en-US"/>
          </a:p>
        </c:txPr>
        <c:crossAx val="567409736"/>
        <c:crosses val="autoZero"/>
        <c:crossBetween val="midCat"/>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style val="2"/>
  <c:chart>
    <c:plotArea>
      <c:layout/>
      <c:lineChart>
        <c:grouping val="standard"/>
        <c:ser>
          <c:idx val="0"/>
          <c:order val="0"/>
          <c:tx>
            <c:strRef>
              <c:f>Feuil1!$A$12</c:f>
              <c:strCache>
                <c:ptCount val="1"/>
                <c:pt idx="0">
                  <c:v>Impôts rev / VAB</c:v>
                </c:pt>
              </c:strCache>
            </c:strRef>
          </c:tx>
          <c:cat>
            <c:numRef>
              <c:f>Feuil1!$B$1:$L$1</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Feuil1!$B$12:$L$12</c:f>
              <c:numCache>
                <c:formatCode>General</c:formatCode>
                <c:ptCount val="11"/>
                <c:pt idx="0">
                  <c:v>4.0</c:v>
                </c:pt>
                <c:pt idx="1">
                  <c:v>4.5</c:v>
                </c:pt>
                <c:pt idx="2">
                  <c:v>3.7</c:v>
                </c:pt>
                <c:pt idx="3">
                  <c:v>3.2</c:v>
                </c:pt>
                <c:pt idx="4">
                  <c:v>3.3</c:v>
                </c:pt>
                <c:pt idx="5">
                  <c:v>3.7</c:v>
                </c:pt>
                <c:pt idx="6">
                  <c:v>4.6</c:v>
                </c:pt>
                <c:pt idx="7">
                  <c:v>4.5</c:v>
                </c:pt>
                <c:pt idx="8">
                  <c:v>4.6</c:v>
                </c:pt>
                <c:pt idx="9">
                  <c:v>1.8</c:v>
                </c:pt>
                <c:pt idx="10">
                  <c:v>2.7</c:v>
                </c:pt>
              </c:numCache>
            </c:numRef>
          </c:val>
        </c:ser>
        <c:ser>
          <c:idx val="1"/>
          <c:order val="1"/>
          <c:tx>
            <c:strRef>
              <c:f>Feuil1!$A$13</c:f>
              <c:strCache>
                <c:ptCount val="1"/>
                <c:pt idx="0">
                  <c:v>Imp prod/VAB</c:v>
                </c:pt>
              </c:strCache>
            </c:strRef>
          </c:tx>
          <c:spPr>
            <a:ln>
              <a:solidFill>
                <a:srgbClr val="FF0000"/>
              </a:solidFill>
            </a:ln>
          </c:spPr>
          <c:marker>
            <c:symbol val="square"/>
            <c:size val="5"/>
            <c:spPr>
              <a:solidFill>
                <a:srgbClr val="FF0000"/>
              </a:solidFill>
            </c:spPr>
          </c:marker>
          <c:cat>
            <c:numRef>
              <c:f>Feuil1!$B$1:$L$1</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Feuil1!$B$13:$L$13</c:f>
              <c:numCache>
                <c:formatCode>General</c:formatCode>
                <c:ptCount val="11"/>
                <c:pt idx="0">
                  <c:v>4.2</c:v>
                </c:pt>
                <c:pt idx="1">
                  <c:v>3.9</c:v>
                </c:pt>
                <c:pt idx="2">
                  <c:v>3.9</c:v>
                </c:pt>
                <c:pt idx="3">
                  <c:v>3.7</c:v>
                </c:pt>
                <c:pt idx="4">
                  <c:v>3.9</c:v>
                </c:pt>
                <c:pt idx="5">
                  <c:v>4.2</c:v>
                </c:pt>
                <c:pt idx="6">
                  <c:v>3.6</c:v>
                </c:pt>
                <c:pt idx="7">
                  <c:v>3.7</c:v>
                </c:pt>
                <c:pt idx="8">
                  <c:v>3.6</c:v>
                </c:pt>
                <c:pt idx="9">
                  <c:v>4.0</c:v>
                </c:pt>
                <c:pt idx="10">
                  <c:v>3.1</c:v>
                </c:pt>
              </c:numCache>
            </c:numRef>
          </c:val>
        </c:ser>
        <c:dLbls/>
        <c:marker val="1"/>
        <c:axId val="636585576"/>
        <c:axId val="568468488"/>
      </c:lineChart>
      <c:catAx>
        <c:axId val="636585576"/>
        <c:scaling>
          <c:orientation val="minMax"/>
        </c:scaling>
        <c:axPos val="b"/>
        <c:majorGridlines/>
        <c:numFmt formatCode="General" sourceLinked="1"/>
        <c:tickLblPos val="nextTo"/>
        <c:txPr>
          <a:bodyPr/>
          <a:lstStyle/>
          <a:p>
            <a:pPr>
              <a:defRPr lang="fr-FR"/>
            </a:pPr>
            <a:endParaRPr lang="en-US"/>
          </a:p>
        </c:txPr>
        <c:crossAx val="568468488"/>
        <c:crosses val="autoZero"/>
        <c:auto val="1"/>
        <c:lblAlgn val="ctr"/>
        <c:lblOffset val="100"/>
      </c:catAx>
      <c:valAx>
        <c:axId val="568468488"/>
        <c:scaling>
          <c:orientation val="minMax"/>
          <c:min val="1.5"/>
        </c:scaling>
        <c:axPos val="l"/>
        <c:majorGridlines/>
        <c:minorGridlines/>
        <c:numFmt formatCode="General" sourceLinked="1"/>
        <c:tickLblPos val="nextTo"/>
        <c:txPr>
          <a:bodyPr/>
          <a:lstStyle/>
          <a:p>
            <a:pPr>
              <a:defRPr lang="fr-FR"/>
            </a:pPr>
            <a:endParaRPr lang="en-US"/>
          </a:p>
        </c:txPr>
        <c:crossAx val="636585576"/>
        <c:crosses val="autoZero"/>
        <c:crossBetween val="midCat"/>
      </c:valAx>
    </c:plotArea>
    <c:legend>
      <c:legendPos val="b"/>
      <c:txPr>
        <a:bodyPr/>
        <a:lstStyle/>
        <a:p>
          <a:pPr>
            <a:defRPr lang="fr-FR" sz="800"/>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style val="2"/>
  <c:chart>
    <c:title>
      <c:txPr>
        <a:bodyPr/>
        <a:lstStyle/>
        <a:p>
          <a:pPr>
            <a:defRPr lang="fr-FR" sz="1000"/>
          </a:pPr>
          <a:endParaRPr lang="en-US"/>
        </a:p>
      </c:txPr>
    </c:title>
    <c:plotArea>
      <c:layout/>
      <c:lineChart>
        <c:grouping val="standard"/>
        <c:ser>
          <c:idx val="0"/>
          <c:order val="0"/>
          <c:tx>
            <c:strRef>
              <c:f>Feuil1!$A$7</c:f>
              <c:strCache>
                <c:ptCount val="1"/>
                <c:pt idx="0">
                  <c:v>Tx Marge</c:v>
                </c:pt>
              </c:strCache>
            </c:strRef>
          </c:tx>
          <c:cat>
            <c:numRef>
              <c:f>Feuil1!$B$1:$L$1</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Feuil1!$B$7:$L$7</c:f>
              <c:numCache>
                <c:formatCode>General</c:formatCode>
                <c:ptCount val="11"/>
                <c:pt idx="0">
                  <c:v>30.7</c:v>
                </c:pt>
                <c:pt idx="1">
                  <c:v>30.8</c:v>
                </c:pt>
                <c:pt idx="2">
                  <c:v>30.1</c:v>
                </c:pt>
                <c:pt idx="3">
                  <c:v>30.4</c:v>
                </c:pt>
                <c:pt idx="4">
                  <c:v>30.6</c:v>
                </c:pt>
                <c:pt idx="5">
                  <c:v>30.5</c:v>
                </c:pt>
                <c:pt idx="6">
                  <c:v>30.8</c:v>
                </c:pt>
                <c:pt idx="7">
                  <c:v>31.7</c:v>
                </c:pt>
                <c:pt idx="8">
                  <c:v>31.5</c:v>
                </c:pt>
                <c:pt idx="9">
                  <c:v>29.2</c:v>
                </c:pt>
                <c:pt idx="10">
                  <c:v>30.2</c:v>
                </c:pt>
              </c:numCache>
            </c:numRef>
          </c:val>
        </c:ser>
        <c:dLbls/>
        <c:marker val="1"/>
        <c:axId val="521961624"/>
        <c:axId val="568977048"/>
      </c:lineChart>
      <c:catAx>
        <c:axId val="521961624"/>
        <c:scaling>
          <c:orientation val="minMax"/>
        </c:scaling>
        <c:axPos val="b"/>
        <c:majorGridlines/>
        <c:numFmt formatCode="General" sourceLinked="1"/>
        <c:tickLblPos val="nextTo"/>
        <c:txPr>
          <a:bodyPr/>
          <a:lstStyle/>
          <a:p>
            <a:pPr>
              <a:defRPr lang="fr-FR"/>
            </a:pPr>
            <a:endParaRPr lang="en-US"/>
          </a:p>
        </c:txPr>
        <c:crossAx val="568977048"/>
        <c:crosses val="autoZero"/>
        <c:auto val="1"/>
        <c:lblAlgn val="ctr"/>
        <c:lblOffset val="100"/>
      </c:catAx>
      <c:valAx>
        <c:axId val="568977048"/>
        <c:scaling>
          <c:orientation val="minMax"/>
        </c:scaling>
        <c:axPos val="l"/>
        <c:majorGridlines/>
        <c:minorGridlines/>
        <c:numFmt formatCode="General" sourceLinked="1"/>
        <c:tickLblPos val="nextTo"/>
        <c:txPr>
          <a:bodyPr/>
          <a:lstStyle/>
          <a:p>
            <a:pPr>
              <a:defRPr lang="fr-FR"/>
            </a:pPr>
            <a:endParaRPr lang="en-US"/>
          </a:p>
        </c:txPr>
        <c:crossAx val="521961624"/>
        <c:crosses val="autoZero"/>
        <c:crossBetween val="midCat"/>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style val="2"/>
  <c:chart>
    <c:plotArea>
      <c:layout/>
      <c:lineChart>
        <c:grouping val="standard"/>
        <c:ser>
          <c:idx val="0"/>
          <c:order val="0"/>
          <c:tx>
            <c:strRef>
              <c:f>Feuil1!$A$8</c:f>
              <c:strCache>
                <c:ptCount val="1"/>
                <c:pt idx="0">
                  <c:v>Intér/VAB</c:v>
                </c:pt>
              </c:strCache>
            </c:strRef>
          </c:tx>
          <c:cat>
            <c:numRef>
              <c:f>Feuil1!$B$1:$L$1</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Feuil1!$B$8:$L$8</c:f>
              <c:numCache>
                <c:formatCode>General</c:formatCode>
                <c:ptCount val="11"/>
                <c:pt idx="0">
                  <c:v>9.5</c:v>
                </c:pt>
                <c:pt idx="1">
                  <c:v>10.2</c:v>
                </c:pt>
                <c:pt idx="2">
                  <c:v>9.9</c:v>
                </c:pt>
                <c:pt idx="3">
                  <c:v>9.1</c:v>
                </c:pt>
                <c:pt idx="4">
                  <c:v>8.4</c:v>
                </c:pt>
                <c:pt idx="5">
                  <c:v>8.200000000000001</c:v>
                </c:pt>
                <c:pt idx="6">
                  <c:v>9.1</c:v>
                </c:pt>
                <c:pt idx="7">
                  <c:v>10.4</c:v>
                </c:pt>
                <c:pt idx="8">
                  <c:v>11.7</c:v>
                </c:pt>
                <c:pt idx="9">
                  <c:v>9.3</c:v>
                </c:pt>
                <c:pt idx="10">
                  <c:v>7.6</c:v>
                </c:pt>
              </c:numCache>
            </c:numRef>
          </c:val>
        </c:ser>
        <c:ser>
          <c:idx val="1"/>
          <c:order val="1"/>
          <c:tx>
            <c:strRef>
              <c:f>Feuil1!$A$9</c:f>
              <c:strCache>
                <c:ptCount val="1"/>
                <c:pt idx="0">
                  <c:v>Div/VAB</c:v>
                </c:pt>
              </c:strCache>
            </c:strRef>
          </c:tx>
          <c:spPr>
            <a:ln>
              <a:solidFill>
                <a:srgbClr val="FF0000"/>
              </a:solidFill>
            </a:ln>
          </c:spPr>
          <c:marker>
            <c:symbol val="square"/>
            <c:size val="5"/>
            <c:spPr>
              <a:solidFill>
                <a:srgbClr val="FF0000"/>
              </a:solidFill>
            </c:spPr>
          </c:marker>
          <c:cat>
            <c:numRef>
              <c:f>Feuil1!$B$1:$L$1</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Feuil1!$B$9:$L$9</c:f>
              <c:numCache>
                <c:formatCode>General</c:formatCode>
                <c:ptCount val="11"/>
                <c:pt idx="0">
                  <c:v>14.6</c:v>
                </c:pt>
                <c:pt idx="1">
                  <c:v>14.5</c:v>
                </c:pt>
                <c:pt idx="2">
                  <c:v>16.6</c:v>
                </c:pt>
                <c:pt idx="3">
                  <c:v>17.7</c:v>
                </c:pt>
                <c:pt idx="4">
                  <c:v>19.7</c:v>
                </c:pt>
                <c:pt idx="5">
                  <c:v>21.0</c:v>
                </c:pt>
                <c:pt idx="6">
                  <c:v>22.9</c:v>
                </c:pt>
                <c:pt idx="7">
                  <c:v>23.8</c:v>
                </c:pt>
                <c:pt idx="8">
                  <c:v>24.9</c:v>
                </c:pt>
                <c:pt idx="9">
                  <c:v>26.0</c:v>
                </c:pt>
                <c:pt idx="10">
                  <c:v>24.1</c:v>
                </c:pt>
              </c:numCache>
            </c:numRef>
          </c:val>
        </c:ser>
        <c:ser>
          <c:idx val="2"/>
          <c:order val="2"/>
          <c:tx>
            <c:strRef>
              <c:f>Feuil1!$A$10</c:f>
              <c:strCache>
                <c:ptCount val="1"/>
                <c:pt idx="0">
                  <c:v>Rev propr perçus / S rev prim perçus</c:v>
                </c:pt>
              </c:strCache>
            </c:strRef>
          </c:tx>
          <c:spPr>
            <a:ln>
              <a:solidFill>
                <a:srgbClr val="009900"/>
              </a:solidFill>
            </a:ln>
          </c:spPr>
          <c:marker>
            <c:spPr>
              <a:solidFill>
                <a:srgbClr val="009900"/>
              </a:solidFill>
            </c:spPr>
          </c:marker>
          <c:cat>
            <c:numRef>
              <c:f>Feuil1!$B$1:$L$1</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Feuil1!$B$10:$L$10</c:f>
              <c:numCache>
                <c:formatCode>General</c:formatCode>
                <c:ptCount val="11"/>
                <c:pt idx="0">
                  <c:v>36.3</c:v>
                </c:pt>
                <c:pt idx="1">
                  <c:v>38.3</c:v>
                </c:pt>
                <c:pt idx="2">
                  <c:v>36.9</c:v>
                </c:pt>
                <c:pt idx="3">
                  <c:v>37.1</c:v>
                </c:pt>
                <c:pt idx="4">
                  <c:v>38.6</c:v>
                </c:pt>
                <c:pt idx="5">
                  <c:v>41.0</c:v>
                </c:pt>
                <c:pt idx="6">
                  <c:v>44.1</c:v>
                </c:pt>
                <c:pt idx="7">
                  <c:v>46.1</c:v>
                </c:pt>
                <c:pt idx="8">
                  <c:v>45.6</c:v>
                </c:pt>
                <c:pt idx="9">
                  <c:v>45.2</c:v>
                </c:pt>
                <c:pt idx="10">
                  <c:v>42.6</c:v>
                </c:pt>
              </c:numCache>
            </c:numRef>
          </c:val>
        </c:ser>
        <c:dLbls/>
        <c:marker val="1"/>
        <c:axId val="567357960"/>
        <c:axId val="568526504"/>
      </c:lineChart>
      <c:catAx>
        <c:axId val="567357960"/>
        <c:scaling>
          <c:orientation val="minMax"/>
        </c:scaling>
        <c:axPos val="b"/>
        <c:majorGridlines/>
        <c:numFmt formatCode="General" sourceLinked="1"/>
        <c:tickLblPos val="nextTo"/>
        <c:txPr>
          <a:bodyPr/>
          <a:lstStyle/>
          <a:p>
            <a:pPr>
              <a:defRPr lang="fr-FR"/>
            </a:pPr>
            <a:endParaRPr lang="en-US"/>
          </a:p>
        </c:txPr>
        <c:crossAx val="568526504"/>
        <c:crosses val="autoZero"/>
        <c:auto val="1"/>
        <c:lblAlgn val="ctr"/>
        <c:lblOffset val="100"/>
      </c:catAx>
      <c:valAx>
        <c:axId val="568526504"/>
        <c:scaling>
          <c:orientation val="minMax"/>
        </c:scaling>
        <c:axPos val="l"/>
        <c:majorGridlines/>
        <c:minorGridlines/>
        <c:numFmt formatCode="General" sourceLinked="1"/>
        <c:tickLblPos val="nextTo"/>
        <c:txPr>
          <a:bodyPr/>
          <a:lstStyle/>
          <a:p>
            <a:pPr>
              <a:defRPr lang="fr-FR"/>
            </a:pPr>
            <a:endParaRPr lang="en-US"/>
          </a:p>
        </c:txPr>
        <c:crossAx val="567357960"/>
        <c:crosses val="autoZero"/>
        <c:crossBetween val="midCat"/>
      </c:valAx>
    </c:plotArea>
    <c:legend>
      <c:legendPos val="b"/>
      <c:txPr>
        <a:bodyPr/>
        <a:lstStyle/>
        <a:p>
          <a:pPr>
            <a:defRPr lang="fr-FR"/>
          </a:pPr>
          <a:endParaRPr lang="en-US"/>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style val="2"/>
  <c:chart>
    <c:title>
      <c:tx>
        <c:rich>
          <a:bodyPr/>
          <a:lstStyle/>
          <a:p>
            <a:pPr>
              <a:defRPr lang="fr-FR" sz="1000"/>
            </a:pPr>
            <a:r>
              <a:rPr lang="en-US" sz="1000"/>
              <a:t>Taux d'autofinancement</a:t>
            </a:r>
          </a:p>
        </c:rich>
      </c:tx>
    </c:title>
    <c:plotArea>
      <c:layout/>
      <c:lineChart>
        <c:grouping val="standard"/>
        <c:ser>
          <c:idx val="0"/>
          <c:order val="0"/>
          <c:tx>
            <c:strRef>
              <c:f>Feuil1!$A$18</c:f>
              <c:strCache>
                <c:ptCount val="1"/>
                <c:pt idx="0">
                  <c:v>Epargne / FBCF</c:v>
                </c:pt>
              </c:strCache>
            </c:strRef>
          </c:tx>
          <c:cat>
            <c:numRef>
              <c:f>Feuil1!$B$1:$L$1</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Feuil1!$B$18:$L$18</c:f>
              <c:numCache>
                <c:formatCode>General</c:formatCode>
                <c:ptCount val="11"/>
                <c:pt idx="0">
                  <c:v>90.6</c:v>
                </c:pt>
                <c:pt idx="1">
                  <c:v>91.6</c:v>
                </c:pt>
                <c:pt idx="2">
                  <c:v>87.3</c:v>
                </c:pt>
                <c:pt idx="3">
                  <c:v>92.9</c:v>
                </c:pt>
                <c:pt idx="4">
                  <c:v>87.4</c:v>
                </c:pt>
                <c:pt idx="5">
                  <c:v>82.8</c:v>
                </c:pt>
                <c:pt idx="6">
                  <c:v>81.6</c:v>
                </c:pt>
                <c:pt idx="7">
                  <c:v>83.8</c:v>
                </c:pt>
                <c:pt idx="8">
                  <c:v>69.3</c:v>
                </c:pt>
                <c:pt idx="9">
                  <c:v>72.9</c:v>
                </c:pt>
                <c:pt idx="10">
                  <c:v>78.7</c:v>
                </c:pt>
              </c:numCache>
            </c:numRef>
          </c:val>
        </c:ser>
        <c:dLbls/>
        <c:marker val="1"/>
        <c:axId val="630851976"/>
        <c:axId val="567313960"/>
      </c:lineChart>
      <c:catAx>
        <c:axId val="630851976"/>
        <c:scaling>
          <c:orientation val="minMax"/>
        </c:scaling>
        <c:axPos val="b"/>
        <c:majorGridlines/>
        <c:numFmt formatCode="General" sourceLinked="1"/>
        <c:tickLblPos val="nextTo"/>
        <c:txPr>
          <a:bodyPr/>
          <a:lstStyle/>
          <a:p>
            <a:pPr>
              <a:defRPr lang="fr-FR"/>
            </a:pPr>
            <a:endParaRPr lang="en-US"/>
          </a:p>
        </c:txPr>
        <c:crossAx val="567313960"/>
        <c:crosses val="autoZero"/>
        <c:auto val="1"/>
        <c:lblAlgn val="ctr"/>
        <c:lblOffset val="100"/>
      </c:catAx>
      <c:valAx>
        <c:axId val="567313960"/>
        <c:scaling>
          <c:orientation val="minMax"/>
          <c:min val="67.0"/>
        </c:scaling>
        <c:axPos val="l"/>
        <c:majorGridlines/>
        <c:minorGridlines/>
        <c:numFmt formatCode="General" sourceLinked="1"/>
        <c:tickLblPos val="nextTo"/>
        <c:txPr>
          <a:bodyPr/>
          <a:lstStyle/>
          <a:p>
            <a:pPr>
              <a:defRPr lang="fr-FR"/>
            </a:pPr>
            <a:endParaRPr lang="en-US"/>
          </a:p>
        </c:txPr>
        <c:crossAx val="630851976"/>
        <c:crosses val="autoZero"/>
        <c:crossBetween val="midCat"/>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style val="2"/>
  <c:chart>
    <c:plotArea>
      <c:layout/>
      <c:lineChart>
        <c:grouping val="standard"/>
        <c:ser>
          <c:idx val="0"/>
          <c:order val="0"/>
          <c:tx>
            <c:strRef>
              <c:f>Feuil1!$A$15</c:f>
              <c:strCache>
                <c:ptCount val="1"/>
                <c:pt idx="0">
                  <c:v>Taux d’épargne </c:v>
                </c:pt>
              </c:strCache>
            </c:strRef>
          </c:tx>
          <c:cat>
            <c:numRef>
              <c:f>Feuil1!$B$1:$L$1</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Feuil1!$B$15:$L$15</c:f>
              <c:numCache>
                <c:formatCode>General</c:formatCode>
                <c:ptCount val="11"/>
                <c:pt idx="0">
                  <c:v>17.1</c:v>
                </c:pt>
                <c:pt idx="1">
                  <c:v>17.4</c:v>
                </c:pt>
                <c:pt idx="2">
                  <c:v>15.7</c:v>
                </c:pt>
                <c:pt idx="3">
                  <c:v>16.2</c:v>
                </c:pt>
                <c:pt idx="4">
                  <c:v>15.4</c:v>
                </c:pt>
                <c:pt idx="5">
                  <c:v>15.0</c:v>
                </c:pt>
                <c:pt idx="6">
                  <c:v>15.2</c:v>
                </c:pt>
                <c:pt idx="7">
                  <c:v>16.5</c:v>
                </c:pt>
                <c:pt idx="8">
                  <c:v>14.0</c:v>
                </c:pt>
                <c:pt idx="9">
                  <c:v>13.5</c:v>
                </c:pt>
                <c:pt idx="10">
                  <c:v>14.7</c:v>
                </c:pt>
              </c:numCache>
            </c:numRef>
          </c:val>
        </c:ser>
        <c:ser>
          <c:idx val="1"/>
          <c:order val="1"/>
          <c:tx>
            <c:strRef>
              <c:f>Feuil1!$A$16</c:f>
              <c:strCache>
                <c:ptCount val="1"/>
                <c:pt idx="0">
                  <c:v>FBCF / VAB</c:v>
                </c:pt>
              </c:strCache>
            </c:strRef>
          </c:tx>
          <c:spPr>
            <a:ln>
              <a:solidFill>
                <a:srgbClr val="FF0000"/>
              </a:solidFill>
            </a:ln>
          </c:spPr>
          <c:marker>
            <c:symbol val="square"/>
            <c:size val="5"/>
            <c:spPr>
              <a:solidFill>
                <a:srgbClr val="FF0000"/>
              </a:solidFill>
            </c:spPr>
          </c:marker>
          <c:cat>
            <c:numRef>
              <c:f>Feuil1!$B$1:$L$1</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Feuil1!$B$16:$L$16</c:f>
              <c:numCache>
                <c:formatCode>General</c:formatCode>
                <c:ptCount val="11"/>
                <c:pt idx="0">
                  <c:v>18.9</c:v>
                </c:pt>
                <c:pt idx="1">
                  <c:v>19.0</c:v>
                </c:pt>
                <c:pt idx="2">
                  <c:v>18.0</c:v>
                </c:pt>
                <c:pt idx="3">
                  <c:v>17.5</c:v>
                </c:pt>
                <c:pt idx="4">
                  <c:v>17.7</c:v>
                </c:pt>
                <c:pt idx="5">
                  <c:v>18.1</c:v>
                </c:pt>
                <c:pt idx="6">
                  <c:v>18.7</c:v>
                </c:pt>
                <c:pt idx="7">
                  <c:v>19.7</c:v>
                </c:pt>
                <c:pt idx="8">
                  <c:v>20.2</c:v>
                </c:pt>
                <c:pt idx="9">
                  <c:v>18.5</c:v>
                </c:pt>
                <c:pt idx="10">
                  <c:v>18.7</c:v>
                </c:pt>
              </c:numCache>
            </c:numRef>
          </c:val>
        </c:ser>
        <c:dLbls/>
        <c:marker val="1"/>
        <c:axId val="569118888"/>
        <c:axId val="569342968"/>
      </c:lineChart>
      <c:catAx>
        <c:axId val="569118888"/>
        <c:scaling>
          <c:orientation val="minMax"/>
        </c:scaling>
        <c:axPos val="b"/>
        <c:majorGridlines/>
        <c:numFmt formatCode="General" sourceLinked="1"/>
        <c:tickLblPos val="nextTo"/>
        <c:txPr>
          <a:bodyPr/>
          <a:lstStyle/>
          <a:p>
            <a:pPr>
              <a:defRPr lang="fr-FR"/>
            </a:pPr>
            <a:endParaRPr lang="en-US"/>
          </a:p>
        </c:txPr>
        <c:crossAx val="569342968"/>
        <c:crosses val="autoZero"/>
        <c:auto val="1"/>
        <c:lblAlgn val="ctr"/>
        <c:lblOffset val="100"/>
      </c:catAx>
      <c:valAx>
        <c:axId val="569342968"/>
        <c:scaling>
          <c:orientation val="minMax"/>
          <c:min val="13.0"/>
        </c:scaling>
        <c:axPos val="l"/>
        <c:majorGridlines/>
        <c:minorGridlines/>
        <c:numFmt formatCode="General" sourceLinked="1"/>
        <c:tickLblPos val="nextTo"/>
        <c:txPr>
          <a:bodyPr/>
          <a:lstStyle/>
          <a:p>
            <a:pPr>
              <a:defRPr lang="fr-FR"/>
            </a:pPr>
            <a:endParaRPr lang="en-US"/>
          </a:p>
        </c:txPr>
        <c:crossAx val="569118888"/>
        <c:crosses val="autoZero"/>
        <c:crossBetween val="midCat"/>
      </c:valAx>
    </c:plotArea>
    <c:legend>
      <c:legendPos val="b"/>
      <c:txPr>
        <a:bodyPr/>
        <a:lstStyle/>
        <a:p>
          <a:pPr>
            <a:defRPr lang="fr-FR"/>
          </a:pPr>
          <a:endParaRPr lang="en-US"/>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style val="2"/>
  <c:chart>
    <c:title>
      <c:tx>
        <c:rich>
          <a:bodyPr/>
          <a:lstStyle/>
          <a:p>
            <a:pPr>
              <a:defRPr lang="fr-FR" sz="900"/>
            </a:pPr>
            <a:r>
              <a:rPr lang="en-US" sz="900" b="1" i="0" baseline="0"/>
              <a:t>Taux de croissance en volume du PIB, aux prix de l'année précédente, chaînés, base 2005</a:t>
            </a:r>
            <a:endParaRPr lang="fr-FR" sz="900"/>
          </a:p>
        </c:rich>
      </c:tx>
      <c:overlay val="1"/>
    </c:title>
    <c:plotArea>
      <c:layout/>
      <c:lineChart>
        <c:grouping val="standard"/>
        <c:ser>
          <c:idx val="0"/>
          <c:order val="0"/>
          <c:cat>
            <c:numRef>
              <c:f>Feuil1!$A$1:$K$1</c:f>
              <c:numCache>
                <c:formatCode>General</c:formatCode>
                <c:ptCount val="11"/>
                <c:pt idx="0">
                  <c:v>2000.0</c:v>
                </c:pt>
                <c:pt idx="1">
                  <c:v>2001.0</c:v>
                </c:pt>
                <c:pt idx="2">
                  <c:v>2002.0</c:v>
                </c:pt>
                <c:pt idx="3">
                  <c:v>2003.0</c:v>
                </c:pt>
                <c:pt idx="4">
                  <c:v>2004.0</c:v>
                </c:pt>
                <c:pt idx="5">
                  <c:v>2005.0</c:v>
                </c:pt>
                <c:pt idx="6">
                  <c:v>2006.0</c:v>
                </c:pt>
                <c:pt idx="7">
                  <c:v>2007.0</c:v>
                </c:pt>
                <c:pt idx="8">
                  <c:v>2008.0</c:v>
                </c:pt>
                <c:pt idx="9">
                  <c:v>2009.0</c:v>
                </c:pt>
                <c:pt idx="10">
                  <c:v>2010.0</c:v>
                </c:pt>
              </c:numCache>
            </c:numRef>
          </c:cat>
          <c:val>
            <c:numRef>
              <c:f>Feuil1!$A$2:$K$2</c:f>
              <c:numCache>
                <c:formatCode>General</c:formatCode>
                <c:ptCount val="11"/>
                <c:pt idx="0">
                  <c:v>3.7</c:v>
                </c:pt>
                <c:pt idx="1">
                  <c:v>1.8</c:v>
                </c:pt>
                <c:pt idx="2">
                  <c:v>0.9</c:v>
                </c:pt>
                <c:pt idx="3">
                  <c:v>0.9</c:v>
                </c:pt>
                <c:pt idx="4">
                  <c:v>2.5</c:v>
                </c:pt>
                <c:pt idx="5">
                  <c:v>1.8</c:v>
                </c:pt>
                <c:pt idx="6">
                  <c:v>2.5</c:v>
                </c:pt>
                <c:pt idx="7">
                  <c:v>2.3</c:v>
                </c:pt>
                <c:pt idx="8">
                  <c:v>-0.4</c:v>
                </c:pt>
                <c:pt idx="9">
                  <c:v>-2.8</c:v>
                </c:pt>
                <c:pt idx="10">
                  <c:v>1.5</c:v>
                </c:pt>
              </c:numCache>
            </c:numRef>
          </c:val>
        </c:ser>
        <c:dLbls/>
        <c:marker val="1"/>
        <c:axId val="569304504"/>
        <c:axId val="569223336"/>
      </c:lineChart>
      <c:catAx>
        <c:axId val="569304504"/>
        <c:scaling>
          <c:orientation val="minMax"/>
        </c:scaling>
        <c:axPos val="b"/>
        <c:majorGridlines/>
        <c:numFmt formatCode="General" sourceLinked="1"/>
        <c:tickLblPos val="nextTo"/>
        <c:txPr>
          <a:bodyPr/>
          <a:lstStyle/>
          <a:p>
            <a:pPr>
              <a:defRPr lang="fr-FR" sz="800"/>
            </a:pPr>
            <a:endParaRPr lang="en-US"/>
          </a:p>
        </c:txPr>
        <c:crossAx val="569223336"/>
        <c:crosses val="autoZero"/>
        <c:auto val="1"/>
        <c:lblAlgn val="ctr"/>
        <c:lblOffset val="100"/>
      </c:catAx>
      <c:valAx>
        <c:axId val="569223336"/>
        <c:scaling>
          <c:orientation val="minMax"/>
        </c:scaling>
        <c:axPos val="l"/>
        <c:majorGridlines/>
        <c:minorGridlines/>
        <c:numFmt formatCode="General" sourceLinked="1"/>
        <c:tickLblPos val="nextTo"/>
        <c:txPr>
          <a:bodyPr/>
          <a:lstStyle/>
          <a:p>
            <a:pPr>
              <a:defRPr lang="fr-FR" sz="800"/>
            </a:pPr>
            <a:endParaRPr lang="en-US"/>
          </a:p>
        </c:txPr>
        <c:crossAx val="569304504"/>
        <c:crosses val="autoZero"/>
        <c:crossBetween val="midCat"/>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E10-944E-4CBE-BE55-094FD65C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4089</Words>
  <Characters>21711</Characters>
  <Application>Microsoft Word 12.0.0</Application>
  <DocSecurity>0</DocSecurity>
  <Lines>871</Lines>
  <Paragraphs>581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Voici, dans le désordre, les différentes rubriques concernant les comptes des so</vt:lpstr>
      <vt:lpstr/>
      <vt:lpstr/>
      <vt:lpstr/>
      <vt:lpstr/>
      <vt:lpstr/>
      <vt:lpstr/>
      <vt:lpstr/>
      <vt:lpstr/>
      <vt:lpstr/>
      <vt:lpstr>Évolutions des indicateurs des SNF de 2000 à 2010</vt:lpstr>
    </vt:vector>
  </TitlesOfParts>
  <Manager/>
  <Company/>
  <LinksUpToDate>false</LinksUpToDate>
  <CharactersWithSpaces>26456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dc:creator>
  <cp:keywords/>
  <dc:description/>
  <cp:lastModifiedBy>GEA Nantes</cp:lastModifiedBy>
  <cp:revision>6</cp:revision>
  <dcterms:created xsi:type="dcterms:W3CDTF">2011-10-04T08:22:00Z</dcterms:created>
  <dcterms:modified xsi:type="dcterms:W3CDTF">2012-03-10T17:45:00Z</dcterms:modified>
  <cp:category/>
</cp:coreProperties>
</file>