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0123" w:rsidRDefault="00EA0123">
      <w:r>
        <w:tab/>
      </w:r>
    </w:p>
    <w:p w:rsidR="00860152" w:rsidRDefault="00860152"/>
    <w:p w:rsidR="00860152" w:rsidRDefault="00860152"/>
    <w:p w:rsidR="003140C8" w:rsidRPr="00D10A63" w:rsidRDefault="003140C8" w:rsidP="003140C8">
      <w:pPr>
        <w:pStyle w:val="ListParagraph"/>
        <w:numPr>
          <w:ilvl w:val="0"/>
          <w:numId w:val="1"/>
        </w:numPr>
        <w:rPr>
          <w:b/>
          <w:u w:val="single"/>
        </w:rPr>
      </w:pPr>
      <w:r w:rsidRPr="00D10A63">
        <w:rPr>
          <w:b/>
          <w:u w:val="single"/>
        </w:rPr>
        <w:t>Questions « flash »</w:t>
      </w:r>
    </w:p>
    <w:p w:rsidR="003140C8" w:rsidRDefault="003140C8" w:rsidP="003140C8">
      <w:pPr>
        <w:pStyle w:val="ListParagraph"/>
        <w:rPr>
          <w:u w:val="single"/>
        </w:rPr>
      </w:pPr>
    </w:p>
    <w:p w:rsidR="00397CB0" w:rsidRDefault="00397CB0" w:rsidP="00214602">
      <w:pPr>
        <w:pStyle w:val="ListParagraph"/>
        <w:numPr>
          <w:ilvl w:val="0"/>
          <w:numId w:val="2"/>
        </w:numPr>
        <w:jc w:val="both"/>
      </w:pPr>
      <w:r>
        <w:t>SNC : Société en Nom Collectif</w:t>
      </w:r>
    </w:p>
    <w:p w:rsidR="00214602" w:rsidRDefault="00214602" w:rsidP="00214602">
      <w:pPr>
        <w:pStyle w:val="ListParagraph"/>
        <w:ind w:left="1080"/>
        <w:jc w:val="both"/>
      </w:pPr>
      <w:r>
        <w:t>Droit alerte : attirer l’attention sur une difficulté éventuelle. Il peut être déclenché par toute société qui dispose d’un commissaire au compte ou les entreprises qui disposent d’un comité d’entreprise. Donc ici, non les SNC ne peuvent exercer le droit d’alerte.</w:t>
      </w:r>
    </w:p>
    <w:p w:rsidR="00214602" w:rsidRDefault="00214602" w:rsidP="00214602">
      <w:pPr>
        <w:pStyle w:val="ListParagraph"/>
        <w:ind w:left="1080"/>
        <w:jc w:val="both"/>
      </w:pPr>
      <w:r>
        <w:t>Particularité de SNC : société qui n’ont pas de capital, se sont des sociétés de personnes.</w:t>
      </w:r>
    </w:p>
    <w:p w:rsidR="005E133F" w:rsidRDefault="005E133F" w:rsidP="005E133F">
      <w:pPr>
        <w:pStyle w:val="ListParagraph"/>
        <w:ind w:left="1080"/>
      </w:pPr>
    </w:p>
    <w:p w:rsidR="005E133F" w:rsidRDefault="005E133F" w:rsidP="005E133F">
      <w:pPr>
        <w:pStyle w:val="ListParagraph"/>
        <w:numPr>
          <w:ilvl w:val="0"/>
          <w:numId w:val="2"/>
        </w:numPr>
        <w:jc w:val="both"/>
      </w:pPr>
      <w:r>
        <w:t>Mandat ad hoc : Contrat  qui consiste à chercher un accord entre une entreprise en  difficulté et ses principaux créanciers et principaux contractants. Pour cela, il faut que le débiteur en face la demande, seule l’entreprise en difficulté, peut demander l’ouverture d’une procédure de mandat.  Le président du tribunal peut  faire une requête auprès de l’entreprise en difficulté mais  il ne peut pas ouvrir la procédure, c’est à l’entreprise de le faire.</w:t>
      </w:r>
    </w:p>
    <w:p w:rsidR="00BB6BE1" w:rsidRDefault="00BB6BE1" w:rsidP="00BB6BE1">
      <w:pPr>
        <w:pStyle w:val="ListParagraph"/>
      </w:pPr>
    </w:p>
    <w:p w:rsidR="00BB6BE1" w:rsidRDefault="00A2683E" w:rsidP="005E133F">
      <w:pPr>
        <w:pStyle w:val="ListParagraph"/>
        <w:numPr>
          <w:ilvl w:val="0"/>
          <w:numId w:val="2"/>
        </w:numPr>
        <w:jc w:val="both"/>
      </w:pPr>
      <w:r>
        <w:t>Faux, en cas de désignation d’un mandataire ad hoc, on ne peut pas interjeter appel après la décision.</w:t>
      </w:r>
    </w:p>
    <w:p w:rsidR="00A2683E" w:rsidRDefault="00A2683E" w:rsidP="00A2683E">
      <w:pPr>
        <w:pStyle w:val="ListParagraph"/>
      </w:pPr>
    </w:p>
    <w:p w:rsidR="00A2683E" w:rsidRDefault="00A2683E" w:rsidP="00CA05DB">
      <w:pPr>
        <w:pStyle w:val="ListParagraph"/>
        <w:numPr>
          <w:ilvl w:val="0"/>
          <w:numId w:val="2"/>
        </w:numPr>
        <w:jc w:val="both"/>
      </w:pPr>
      <w:r>
        <w:t>Les entreprises soumises au droit d’alerte sont :</w:t>
      </w:r>
    </w:p>
    <w:p w:rsidR="00A2683E" w:rsidRDefault="00A2683E" w:rsidP="00A2683E">
      <w:pPr>
        <w:pStyle w:val="ListParagraph"/>
        <w:numPr>
          <w:ilvl w:val="0"/>
          <w:numId w:val="3"/>
        </w:numPr>
        <w:jc w:val="both"/>
      </w:pPr>
      <w:r>
        <w:t xml:space="preserve"> Société et groupement avec commissaire au compte</w:t>
      </w:r>
    </w:p>
    <w:p w:rsidR="00A2683E" w:rsidRDefault="00A2683E" w:rsidP="00A2683E">
      <w:pPr>
        <w:pStyle w:val="ListParagraph"/>
        <w:numPr>
          <w:ilvl w:val="0"/>
          <w:numId w:val="3"/>
        </w:numPr>
        <w:jc w:val="both"/>
      </w:pPr>
      <w:r>
        <w:t xml:space="preserve"> Entreprises avec comité d’entreprise</w:t>
      </w:r>
    </w:p>
    <w:p w:rsidR="00A2683E" w:rsidRDefault="00A2683E" w:rsidP="00A2683E">
      <w:pPr>
        <w:pStyle w:val="ListParagraph"/>
        <w:jc w:val="both"/>
      </w:pPr>
    </w:p>
    <w:p w:rsidR="00CA05DB" w:rsidRDefault="00A2683E" w:rsidP="00CA05DB">
      <w:pPr>
        <w:pStyle w:val="ListParagraph"/>
        <w:numPr>
          <w:ilvl w:val="0"/>
          <w:numId w:val="2"/>
        </w:numPr>
        <w:jc w:val="both"/>
      </w:pPr>
      <w:r>
        <w:t>Non, c’est le débiteur qui peut demander l’ouverture d’un mandat ad hoc.</w:t>
      </w:r>
    </w:p>
    <w:p w:rsidR="00CA05DB" w:rsidRDefault="00CA05DB" w:rsidP="00CA05DB">
      <w:pPr>
        <w:pStyle w:val="ListParagraph"/>
        <w:ind w:left="1080"/>
        <w:jc w:val="both"/>
      </w:pPr>
    </w:p>
    <w:p w:rsidR="00CA05DB" w:rsidRDefault="00CA05DB" w:rsidP="00CA05DB">
      <w:pPr>
        <w:pStyle w:val="ListParagraph"/>
        <w:numPr>
          <w:ilvl w:val="0"/>
          <w:numId w:val="2"/>
        </w:numPr>
        <w:jc w:val="both"/>
      </w:pPr>
      <w:r>
        <w:t>Oui, il peut demander au président du tribunal qu’il soit mis fin sans délai à la mission du mandataire ad hoc, si le débiteur constate que le mandataire n’arrive pas à trouver un accord avec ses créanciers</w:t>
      </w:r>
      <w:r w:rsidR="003B519F">
        <w:t xml:space="preserve"> car</w:t>
      </w:r>
      <w:r>
        <w:t xml:space="preserve"> de toute façon c’est lui qui paie.</w:t>
      </w:r>
    </w:p>
    <w:p w:rsidR="00CA05DB" w:rsidRDefault="00CA05DB" w:rsidP="00CA05DB">
      <w:pPr>
        <w:pStyle w:val="ListParagraph"/>
      </w:pPr>
    </w:p>
    <w:p w:rsidR="00397CB0" w:rsidRDefault="00CA05DB" w:rsidP="00860152">
      <w:pPr>
        <w:pStyle w:val="ListParagraph"/>
        <w:numPr>
          <w:ilvl w:val="0"/>
          <w:numId w:val="2"/>
        </w:numPr>
        <w:jc w:val="both"/>
      </w:pPr>
      <w:r>
        <w:t>Une alerte  est donnée lorsqu’une entreprise connaît des difficultés de nature à compromettre la continuité de son exploitation.</w:t>
      </w:r>
    </w:p>
    <w:p w:rsidR="00860152" w:rsidRDefault="00860152" w:rsidP="00860152">
      <w:pPr>
        <w:pStyle w:val="ListParagraph"/>
      </w:pPr>
    </w:p>
    <w:p w:rsidR="00860152" w:rsidRDefault="00860152" w:rsidP="00860152">
      <w:pPr>
        <w:jc w:val="both"/>
      </w:pPr>
    </w:p>
    <w:p w:rsidR="00860152" w:rsidRDefault="00860152" w:rsidP="00860152">
      <w:pPr>
        <w:jc w:val="both"/>
      </w:pPr>
    </w:p>
    <w:p w:rsidR="00860152" w:rsidRDefault="00860152" w:rsidP="00860152">
      <w:pPr>
        <w:jc w:val="both"/>
      </w:pPr>
    </w:p>
    <w:p w:rsidR="00860152" w:rsidRDefault="00860152" w:rsidP="00860152">
      <w:pPr>
        <w:jc w:val="both"/>
      </w:pPr>
    </w:p>
    <w:p w:rsidR="00860152" w:rsidRPr="00860152" w:rsidRDefault="00860152" w:rsidP="00860152">
      <w:pPr>
        <w:jc w:val="both"/>
      </w:pPr>
    </w:p>
    <w:p w:rsidR="003140C8" w:rsidRPr="00D10A63" w:rsidRDefault="003140C8">
      <w:pPr>
        <w:pStyle w:val="ListParagraph"/>
        <w:numPr>
          <w:ilvl w:val="0"/>
          <w:numId w:val="1"/>
        </w:numPr>
        <w:rPr>
          <w:b/>
          <w:u w:val="single"/>
        </w:rPr>
      </w:pPr>
      <w:r w:rsidRPr="00D10A63">
        <w:rPr>
          <w:b/>
          <w:u w:val="single"/>
        </w:rPr>
        <w:t>Compléter le tableau suivant sur le thème du droit alerte</w:t>
      </w:r>
    </w:p>
    <w:p w:rsidR="003140C8" w:rsidRPr="003140C8" w:rsidRDefault="003140C8" w:rsidP="003140C8">
      <w:pPr>
        <w:pStyle w:val="ListParagraph"/>
        <w:rPr>
          <w:u w:val="single"/>
        </w:rPr>
      </w:pPr>
    </w:p>
    <w:tbl>
      <w:tblPr>
        <w:tblStyle w:val="LightGrid-Accent5"/>
        <w:tblW w:w="0" w:type="auto"/>
        <w:tblLook w:val="04A0"/>
      </w:tblPr>
      <w:tblGrid>
        <w:gridCol w:w="3070"/>
        <w:gridCol w:w="3071"/>
        <w:gridCol w:w="3071"/>
      </w:tblGrid>
      <w:tr w:rsidR="003140C8">
        <w:trPr>
          <w:cnfStyle w:val="100000000000"/>
          <w:trHeight w:val="731"/>
        </w:trPr>
        <w:tc>
          <w:tcPr>
            <w:cnfStyle w:val="001000000000"/>
            <w:tcW w:w="3070" w:type="dxa"/>
          </w:tcPr>
          <w:p w:rsidR="003140C8" w:rsidRPr="003140C8" w:rsidRDefault="003140C8" w:rsidP="003140C8">
            <w:pPr>
              <w:pStyle w:val="ListParagraph"/>
              <w:ind w:left="0"/>
              <w:jc w:val="center"/>
              <w:rPr>
                <w:b w:val="0"/>
              </w:rPr>
            </w:pPr>
            <w:r w:rsidRPr="003140C8">
              <w:t>Titulaire du droit d’alerte</w:t>
            </w:r>
          </w:p>
        </w:tc>
        <w:tc>
          <w:tcPr>
            <w:tcW w:w="3071" w:type="dxa"/>
          </w:tcPr>
          <w:p w:rsidR="003140C8" w:rsidRPr="003140C8" w:rsidRDefault="003140C8" w:rsidP="003140C8">
            <w:pPr>
              <w:pStyle w:val="ListParagraph"/>
              <w:ind w:left="0"/>
              <w:jc w:val="center"/>
              <w:cnfStyle w:val="100000000000"/>
              <w:rPr>
                <w:b w:val="0"/>
              </w:rPr>
            </w:pPr>
            <w:r w:rsidRPr="003140C8">
              <w:t>Faits susceptibles de déclencher l’alerte</w:t>
            </w:r>
          </w:p>
        </w:tc>
        <w:tc>
          <w:tcPr>
            <w:tcW w:w="3071" w:type="dxa"/>
          </w:tcPr>
          <w:p w:rsidR="003140C8" w:rsidRPr="003140C8" w:rsidRDefault="003140C8" w:rsidP="003140C8">
            <w:pPr>
              <w:pStyle w:val="ListParagraph"/>
              <w:ind w:left="0"/>
              <w:jc w:val="center"/>
              <w:cnfStyle w:val="100000000000"/>
              <w:rPr>
                <w:b w:val="0"/>
              </w:rPr>
            </w:pPr>
            <w:r w:rsidRPr="003140C8">
              <w:t>Moyen de déclenchement de l’alerte</w:t>
            </w:r>
          </w:p>
        </w:tc>
      </w:tr>
      <w:tr w:rsidR="003140C8">
        <w:trPr>
          <w:cnfStyle w:val="000000100000"/>
        </w:trPr>
        <w:tc>
          <w:tcPr>
            <w:cnfStyle w:val="001000000000"/>
            <w:tcW w:w="3070" w:type="dxa"/>
          </w:tcPr>
          <w:p w:rsidR="003140C8" w:rsidRDefault="00397CB0" w:rsidP="003140C8">
            <w:pPr>
              <w:pStyle w:val="ListParagraph"/>
              <w:ind w:left="0"/>
            </w:pPr>
            <w:r>
              <w:t>Commissaire au compte</w:t>
            </w:r>
          </w:p>
        </w:tc>
        <w:tc>
          <w:tcPr>
            <w:tcW w:w="3071" w:type="dxa"/>
          </w:tcPr>
          <w:p w:rsidR="00184969" w:rsidRDefault="00397CB0" w:rsidP="00184969">
            <w:pPr>
              <w:pStyle w:val="ListParagraph"/>
              <w:ind w:left="0"/>
              <w:cnfStyle w:val="000000100000"/>
            </w:pPr>
            <w:r>
              <w:t xml:space="preserve">Tout fait de nature à compromettre la continuité de l’entreprise. </w:t>
            </w:r>
          </w:p>
          <w:p w:rsidR="003140C8" w:rsidRDefault="00397CB0" w:rsidP="00184969">
            <w:pPr>
              <w:pStyle w:val="ListParagraph"/>
              <w:ind w:left="0"/>
              <w:cnfStyle w:val="000000100000"/>
            </w:pPr>
            <w:r w:rsidRPr="00184969">
              <w:rPr>
                <w:u w:val="single"/>
              </w:rPr>
              <w:t>Exemples :</w:t>
            </w:r>
            <w:r w:rsidR="00184969">
              <w:t xml:space="preserve"> questions financières, économiques et sociales (dettes,</w:t>
            </w:r>
            <w:r>
              <w:t xml:space="preserve"> perte de marché</w:t>
            </w:r>
            <w:r w:rsidR="00184969">
              <w:t>)</w:t>
            </w:r>
          </w:p>
        </w:tc>
        <w:tc>
          <w:tcPr>
            <w:tcW w:w="3071" w:type="dxa"/>
          </w:tcPr>
          <w:p w:rsidR="003140C8" w:rsidRDefault="00184969" w:rsidP="00184969">
            <w:pPr>
              <w:pStyle w:val="ListParagraph"/>
              <w:ind w:left="0"/>
              <w:jc w:val="both"/>
              <w:cnfStyle w:val="000000100000"/>
            </w:pPr>
            <w:r>
              <w:t>Il va adresser un courrier aux dirigeants de l’entreprise pour savoir ce qu’il se passe : demande d’explications. Si la réponse du dirigeant ne le satisfait p</w:t>
            </w:r>
            <w:r w:rsidR="00F64015">
              <w:t>as, il va</w:t>
            </w:r>
            <w:r>
              <w:t xml:space="preserve"> saisir le tribunal (TC pour les commerçants sinon TGI) qui peut s’adresser au</w:t>
            </w:r>
            <w:r w:rsidR="00F64015">
              <w:t>x</w:t>
            </w:r>
            <w:r>
              <w:t xml:space="preserve"> dirigeant</w:t>
            </w:r>
            <w:r w:rsidR="00F64015">
              <w:t>s</w:t>
            </w:r>
            <w:r>
              <w:t xml:space="preserve"> de l’entreprise pour avoir plus d’explications sur les difficultés de l’entreprise.</w:t>
            </w:r>
          </w:p>
        </w:tc>
      </w:tr>
      <w:tr w:rsidR="003140C8">
        <w:trPr>
          <w:cnfStyle w:val="000000010000"/>
        </w:trPr>
        <w:tc>
          <w:tcPr>
            <w:cnfStyle w:val="001000000000"/>
            <w:tcW w:w="3070" w:type="dxa"/>
          </w:tcPr>
          <w:p w:rsidR="003140C8" w:rsidRDefault="00397CB0" w:rsidP="003140C8">
            <w:pPr>
              <w:pStyle w:val="ListParagraph"/>
              <w:ind w:left="0"/>
            </w:pPr>
            <w:r>
              <w:t>Comité d’entreprise</w:t>
            </w:r>
          </w:p>
        </w:tc>
        <w:tc>
          <w:tcPr>
            <w:tcW w:w="3071" w:type="dxa"/>
          </w:tcPr>
          <w:p w:rsidR="003140C8" w:rsidRDefault="00184969" w:rsidP="003140C8">
            <w:pPr>
              <w:pStyle w:val="ListParagraph"/>
              <w:ind w:left="0"/>
              <w:cnfStyle w:val="000000010000"/>
            </w:pPr>
            <w:r>
              <w:t>Difficulté économiques préoccupantes</w:t>
            </w:r>
          </w:p>
        </w:tc>
        <w:tc>
          <w:tcPr>
            <w:tcW w:w="3071" w:type="dxa"/>
          </w:tcPr>
          <w:p w:rsidR="003140C8" w:rsidRDefault="00184969" w:rsidP="003140C8">
            <w:pPr>
              <w:pStyle w:val="ListParagraph"/>
              <w:ind w:left="0"/>
              <w:cnfStyle w:val="000000010000"/>
            </w:pPr>
            <w:r>
              <w:t>Droit de poser des questions écrites ou orales</w:t>
            </w:r>
            <w:r w:rsidR="00F64015">
              <w:t xml:space="preserve"> -&gt; Demande d’explications.</w:t>
            </w:r>
          </w:p>
        </w:tc>
      </w:tr>
      <w:tr w:rsidR="003140C8">
        <w:trPr>
          <w:cnfStyle w:val="000000100000"/>
        </w:trPr>
        <w:tc>
          <w:tcPr>
            <w:cnfStyle w:val="001000000000"/>
            <w:tcW w:w="3070" w:type="dxa"/>
          </w:tcPr>
          <w:p w:rsidR="003140C8" w:rsidRDefault="00397CB0" w:rsidP="003140C8">
            <w:pPr>
              <w:pStyle w:val="ListParagraph"/>
              <w:ind w:left="0"/>
            </w:pPr>
            <w:r>
              <w:t>Associés</w:t>
            </w:r>
          </w:p>
        </w:tc>
        <w:tc>
          <w:tcPr>
            <w:tcW w:w="3071" w:type="dxa"/>
          </w:tcPr>
          <w:p w:rsidR="003140C8" w:rsidRDefault="00F64015" w:rsidP="003140C8">
            <w:pPr>
              <w:pStyle w:val="ListParagraph"/>
              <w:ind w:left="0"/>
              <w:cnfStyle w:val="000000100000"/>
            </w:pPr>
            <w:r>
              <w:t>Facultatif</w:t>
            </w:r>
          </w:p>
        </w:tc>
        <w:tc>
          <w:tcPr>
            <w:tcW w:w="3071" w:type="dxa"/>
          </w:tcPr>
          <w:p w:rsidR="003140C8" w:rsidRDefault="00F64015" w:rsidP="003140C8">
            <w:pPr>
              <w:pStyle w:val="ListParagraph"/>
              <w:ind w:left="0"/>
              <w:cnfStyle w:val="000000100000"/>
            </w:pPr>
            <w:r>
              <w:t>Droit de poser des questions aux dirigeants.</w:t>
            </w:r>
          </w:p>
        </w:tc>
      </w:tr>
      <w:tr w:rsidR="003140C8">
        <w:trPr>
          <w:cnfStyle w:val="000000010000"/>
        </w:trPr>
        <w:tc>
          <w:tcPr>
            <w:cnfStyle w:val="001000000000"/>
            <w:tcW w:w="3070" w:type="dxa"/>
          </w:tcPr>
          <w:p w:rsidR="003140C8" w:rsidRDefault="00F64015" w:rsidP="003140C8">
            <w:pPr>
              <w:pStyle w:val="ListParagraph"/>
              <w:ind w:left="0"/>
            </w:pPr>
            <w:r>
              <w:t>Président du tribunal</w:t>
            </w:r>
          </w:p>
        </w:tc>
        <w:tc>
          <w:tcPr>
            <w:tcW w:w="3071" w:type="dxa"/>
          </w:tcPr>
          <w:p w:rsidR="003140C8" w:rsidRDefault="00F64015" w:rsidP="003140C8">
            <w:pPr>
              <w:pStyle w:val="ListParagraph"/>
              <w:ind w:left="0"/>
              <w:cnfStyle w:val="000000010000"/>
            </w:pPr>
            <w:r>
              <w:t>Article 611 du Code de Commerce</w:t>
            </w:r>
          </w:p>
        </w:tc>
        <w:tc>
          <w:tcPr>
            <w:tcW w:w="3071" w:type="dxa"/>
          </w:tcPr>
          <w:p w:rsidR="003140C8" w:rsidRDefault="00F64015" w:rsidP="003140C8">
            <w:pPr>
              <w:pStyle w:val="ListParagraph"/>
              <w:ind w:left="0"/>
              <w:cnfStyle w:val="000000010000"/>
            </w:pPr>
            <w:r>
              <w:t>Convocation, pas de sanction, juste pour contacter.</w:t>
            </w:r>
          </w:p>
        </w:tc>
      </w:tr>
    </w:tbl>
    <w:p w:rsidR="005E133F" w:rsidRDefault="005E133F" w:rsidP="005E133F">
      <w:pPr>
        <w:pStyle w:val="ListParagraph"/>
      </w:pPr>
    </w:p>
    <w:p w:rsidR="003140C8" w:rsidRDefault="005E133F" w:rsidP="005E133F">
      <w:pPr>
        <w:pStyle w:val="ListParagraph"/>
        <w:numPr>
          <w:ilvl w:val="0"/>
          <w:numId w:val="1"/>
        </w:numPr>
        <w:rPr>
          <w:b/>
          <w:u w:val="single"/>
        </w:rPr>
      </w:pPr>
      <w:r w:rsidRPr="00D10A63">
        <w:rPr>
          <w:b/>
          <w:u w:val="single"/>
        </w:rPr>
        <w:t>Cas pratique</w:t>
      </w:r>
    </w:p>
    <w:p w:rsidR="00426EF5" w:rsidRPr="00D10A63" w:rsidRDefault="00426EF5" w:rsidP="00426EF5">
      <w:pPr>
        <w:pStyle w:val="ListParagraph"/>
        <w:rPr>
          <w:b/>
          <w:u w:val="single"/>
        </w:rPr>
      </w:pPr>
    </w:p>
    <w:p w:rsidR="00975CA4" w:rsidRPr="00432A98" w:rsidRDefault="00432A98" w:rsidP="00975CA4">
      <w:r>
        <w:t>L’entreprise Nimauvès connait une p</w:t>
      </w:r>
      <w:r w:rsidRPr="00432A98">
        <w:t>erte de marché = 500 000 euros</w:t>
      </w:r>
      <w:r>
        <w:t>. Un des associés M.Nibon s’inquiète de la situation de l’entreprise.</w:t>
      </w:r>
    </w:p>
    <w:p w:rsidR="00432A98" w:rsidRPr="00D10A63" w:rsidRDefault="00432A98" w:rsidP="00D10A63">
      <w:pPr>
        <w:pStyle w:val="ListParagraph"/>
        <w:numPr>
          <w:ilvl w:val="0"/>
          <w:numId w:val="7"/>
        </w:numPr>
        <w:rPr>
          <w:i/>
        </w:rPr>
      </w:pPr>
      <w:r w:rsidRPr="00D10A63">
        <w:rPr>
          <w:i/>
        </w:rPr>
        <w:t xml:space="preserve">Un associé peut-il exercer un droit d’alerte ? </w:t>
      </w:r>
    </w:p>
    <w:p w:rsidR="00432A98" w:rsidRDefault="00D10A63" w:rsidP="00975CA4">
      <w:r>
        <w:t>Oui, un associé peut exercer</w:t>
      </w:r>
      <w:r w:rsidR="00432A98">
        <w:t xml:space="preserve"> un droit d’alerte</w:t>
      </w:r>
      <w:r>
        <w:t>.</w:t>
      </w:r>
    </w:p>
    <w:p w:rsidR="00432A98" w:rsidRPr="00D10A63" w:rsidRDefault="00432A98" w:rsidP="00D10A63">
      <w:pPr>
        <w:pStyle w:val="ListParagraph"/>
        <w:numPr>
          <w:ilvl w:val="0"/>
          <w:numId w:val="7"/>
        </w:numPr>
        <w:rPr>
          <w:i/>
        </w:rPr>
      </w:pPr>
      <w:r w:rsidRPr="00D10A63">
        <w:rPr>
          <w:i/>
        </w:rPr>
        <w:t xml:space="preserve">Peut-il le faire dans ce cas ici ? </w:t>
      </w:r>
    </w:p>
    <w:p w:rsidR="00432A98" w:rsidRDefault="00432A98" w:rsidP="00975CA4">
      <w:r>
        <w:t xml:space="preserve">Pour déclencher l’alerte, il faut que l’entreprise  ne  soit pas en cessation de paiement. Ici, c’est le </w:t>
      </w:r>
      <w:r w:rsidR="00D10A63">
        <w:t xml:space="preserve"> cas, ils ne sont pas en cessation de paiement.</w:t>
      </w:r>
    </w:p>
    <w:p w:rsidR="00432A98" w:rsidRPr="00D10A63" w:rsidRDefault="00432A98" w:rsidP="00D10A63">
      <w:pPr>
        <w:pStyle w:val="ListParagraph"/>
        <w:numPr>
          <w:ilvl w:val="0"/>
          <w:numId w:val="7"/>
        </w:numPr>
        <w:rPr>
          <w:i/>
        </w:rPr>
      </w:pPr>
      <w:r w:rsidRPr="00D10A63">
        <w:rPr>
          <w:i/>
        </w:rPr>
        <w:t>Il y a-t-il un fait justifiant l’alerte ?</w:t>
      </w:r>
    </w:p>
    <w:p w:rsidR="00D205AE" w:rsidRDefault="00D10A63" w:rsidP="00D205AE">
      <w:r>
        <w:t xml:space="preserve"> O</w:t>
      </w:r>
      <w:r w:rsidR="00432A98">
        <w:t>ui</w:t>
      </w:r>
      <w:r>
        <w:t>,</w:t>
      </w:r>
      <w:r w:rsidR="00432A98">
        <w:t xml:space="preserve"> la perte de marché</w:t>
      </w:r>
    </w:p>
    <w:p w:rsidR="00D205AE" w:rsidRDefault="00D205AE" w:rsidP="00D205AE">
      <w:r w:rsidRPr="00D205AE">
        <w:t xml:space="preserve"> </w:t>
      </w:r>
      <w:r>
        <w:t>Dans ce cas, M.Nibon peut exercer son droit d’alerte.</w:t>
      </w:r>
    </w:p>
    <w:p w:rsidR="00426EF5" w:rsidRDefault="00426EF5" w:rsidP="00D205AE"/>
    <w:p w:rsidR="00426EF5" w:rsidRDefault="00426EF5" w:rsidP="00D205AE"/>
    <w:p w:rsidR="00426EF5" w:rsidRPr="00432A98" w:rsidRDefault="00426EF5" w:rsidP="00D205AE"/>
    <w:p w:rsidR="00D205AE" w:rsidRPr="003A2774" w:rsidRDefault="00D205AE" w:rsidP="00D205AE">
      <w:pPr>
        <w:pStyle w:val="ListParagraph"/>
        <w:numPr>
          <w:ilvl w:val="0"/>
          <w:numId w:val="7"/>
        </w:numPr>
        <w:rPr>
          <w:i/>
        </w:rPr>
      </w:pPr>
      <w:r w:rsidRPr="003A2774">
        <w:rPr>
          <w:i/>
        </w:rPr>
        <w:t xml:space="preserve">Comment procédé ? </w:t>
      </w:r>
    </w:p>
    <w:p w:rsidR="00D205AE" w:rsidRDefault="00D205AE" w:rsidP="00975CA4">
      <w:r>
        <w:t>Il s’adresse aux dirigeants, s’il n’est pas satisfait de la réponse du dirigeant, il va saisir le commissaire au compte</w:t>
      </w:r>
      <w:r w:rsidR="00426EF5">
        <w:t xml:space="preserve"> (</w:t>
      </w:r>
      <w:r>
        <w:t>Obliger de le faire, c’est son travail). Si le commissaire n’arrive pas à son tour à avoir des explications satisfaisante, alors ce dernier va saisir le président du tribunal. Le président du tribunal, va convoquer les dirigeants de l’entreprise, si ils estiment qu’il n’y a pas de préoccupations, il ne se passera rien, si ils reconnaissent le problème, ils vont alors ouvrir une procédure</w:t>
      </w:r>
    </w:p>
    <w:p w:rsidR="00975CA4" w:rsidRPr="00426EF5" w:rsidRDefault="00426EF5" w:rsidP="00426EF5">
      <w:pPr>
        <w:pStyle w:val="ListParagraph"/>
        <w:numPr>
          <w:ilvl w:val="0"/>
          <w:numId w:val="1"/>
        </w:numPr>
        <w:rPr>
          <w:b/>
          <w:u w:val="single"/>
        </w:rPr>
      </w:pPr>
      <w:r w:rsidRPr="00426EF5">
        <w:rPr>
          <w:b/>
          <w:u w:val="single"/>
        </w:rPr>
        <w:t>Fiche de jurisprudence</w:t>
      </w:r>
    </w:p>
    <w:p w:rsidR="00432A98" w:rsidRDefault="00432A98" w:rsidP="00860152">
      <w:pPr>
        <w:pStyle w:val="ListParagraph"/>
        <w:rPr>
          <w:u w:val="single"/>
        </w:rPr>
      </w:pPr>
    </w:p>
    <w:p w:rsidR="00025575" w:rsidRDefault="00025575" w:rsidP="00025575">
      <w:pPr>
        <w:pStyle w:val="ListParagraph"/>
        <w:jc w:val="both"/>
        <w:rPr>
          <w:u w:val="single"/>
        </w:rPr>
      </w:pPr>
    </w:p>
    <w:p w:rsidR="00025575" w:rsidRDefault="00025575" w:rsidP="00025575">
      <w:pPr>
        <w:pStyle w:val="ListParagraph"/>
        <w:jc w:val="both"/>
      </w:pPr>
      <w:r>
        <w:t>Décision de la Cour d’appel de Paris du 2 avril 1999</w:t>
      </w:r>
    </w:p>
    <w:p w:rsidR="00025575" w:rsidRDefault="00025575" w:rsidP="00025575">
      <w:pPr>
        <w:pStyle w:val="ListParagraph"/>
        <w:jc w:val="both"/>
      </w:pPr>
    </w:p>
    <w:p w:rsidR="00025575" w:rsidRDefault="00025575" w:rsidP="00025575">
      <w:pPr>
        <w:pStyle w:val="ListParagraph"/>
        <w:jc w:val="both"/>
      </w:pPr>
    </w:p>
    <w:p w:rsidR="00025575" w:rsidRDefault="00025575" w:rsidP="00025575">
      <w:pPr>
        <w:pStyle w:val="ListParagraph"/>
        <w:jc w:val="both"/>
      </w:pPr>
      <w:r>
        <w:t>Est-ce que la confidentialité est opposable aux parties concernées ?</w:t>
      </w:r>
    </w:p>
    <w:p w:rsidR="00025575" w:rsidRDefault="00025575" w:rsidP="00025575">
      <w:pPr>
        <w:pStyle w:val="ListParagraph"/>
        <w:jc w:val="both"/>
      </w:pPr>
    </w:p>
    <w:p w:rsidR="00025575" w:rsidRPr="00025575" w:rsidRDefault="00172544" w:rsidP="00025575">
      <w:pPr>
        <w:pStyle w:val="ListParagraph"/>
        <w:jc w:val="both"/>
      </w:pPr>
      <w:r>
        <w:t>Il ya une confidentialité</w:t>
      </w:r>
      <w:r w:rsidR="00025575">
        <w:t xml:space="preserve"> mais ce n’est pas absolu. Ce n’est pas parce que les personnes participant à la procédure du mandat ad hoc doivent rester confidentielles que les parties opposantes n’ont pas le droit de savoir ce qu’il se passe. </w:t>
      </w:r>
    </w:p>
    <w:sectPr w:rsidR="00025575" w:rsidRPr="00025575" w:rsidSect="00A02527">
      <w:headerReference w:type="default" r:id="rId9"/>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22D1C" w:rsidRDefault="00B22D1C" w:rsidP="00860152">
      <w:pPr>
        <w:spacing w:after="0" w:line="240" w:lineRule="auto"/>
      </w:pPr>
      <w:r>
        <w:separator/>
      </w:r>
    </w:p>
  </w:endnote>
  <w:endnote w:type="continuationSeparator" w:id="1">
    <w:p w:rsidR="00B22D1C" w:rsidRDefault="00B22D1C" w:rsidP="00860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22D1C" w:rsidRDefault="00B22D1C" w:rsidP="00860152">
      <w:pPr>
        <w:spacing w:after="0" w:line="240" w:lineRule="auto"/>
      </w:pPr>
      <w:r>
        <w:separator/>
      </w:r>
    </w:p>
  </w:footnote>
  <w:footnote w:type="continuationSeparator" w:id="1">
    <w:p w:rsidR="00B22D1C" w:rsidRDefault="00B22D1C" w:rsidP="0086015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21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88"/>
      <w:gridCol w:w="1208"/>
    </w:tblGrid>
    <w:tr w:rsidR="00860152">
      <w:trPr>
        <w:trHeight w:val="277"/>
      </w:trPr>
      <w:sdt>
        <w:sdtPr>
          <w:rPr>
            <w:rFonts w:asciiTheme="majorHAnsi" w:eastAsiaTheme="majorEastAsia" w:hAnsiTheme="majorHAnsi" w:cstheme="majorBidi"/>
            <w:sz w:val="36"/>
            <w:szCs w:val="36"/>
          </w:rPr>
          <w:alias w:val="Titre"/>
          <w:id w:val="77761602"/>
          <w:placeholder>
            <w:docPart w:val="B85E636F1F484A5AA87C4D0AA024B49B"/>
          </w:placeholder>
          <w:dataBinding w:prefixMappings="xmlns:ns0='http://schemas.openxmlformats.org/package/2006/metadata/core-properties' xmlns:ns1='http://purl.org/dc/elements/1.1/'" w:xpath="/ns0:coreProperties[1]/ns1:title[1]" w:storeItemID="{6C3C8BC8-F283-45AE-878A-BAB7291924A1}"/>
          <w:text/>
        </w:sdtPr>
        <w:sdtContent>
          <w:tc>
            <w:tcPr>
              <w:tcW w:w="8488" w:type="dxa"/>
            </w:tcPr>
            <w:p w:rsidR="00860152" w:rsidRDefault="00860152" w:rsidP="0086015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Mandat ad hoc</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8245EAEE2BD74B518ADC9703ABB9D0AD"/>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208" w:type="dxa"/>
            </w:tcPr>
            <w:p w:rsidR="00860152" w:rsidRDefault="00342D0C" w:rsidP="0086015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TD N 1</w:t>
              </w:r>
            </w:p>
          </w:tc>
        </w:sdtContent>
      </w:sdt>
    </w:tr>
  </w:tbl>
  <w:p w:rsidR="00860152" w:rsidRDefault="00860152">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55EF9"/>
    <w:multiLevelType w:val="hybridMultilevel"/>
    <w:tmpl w:val="18165A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37553"/>
    <w:multiLevelType w:val="hybridMultilevel"/>
    <w:tmpl w:val="8BC69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BE7D14"/>
    <w:multiLevelType w:val="hybridMultilevel"/>
    <w:tmpl w:val="906AD6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963825"/>
    <w:multiLevelType w:val="hybridMultilevel"/>
    <w:tmpl w:val="A4DC27A4"/>
    <w:lvl w:ilvl="0" w:tplc="2B222A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5E5D58"/>
    <w:multiLevelType w:val="hybridMultilevel"/>
    <w:tmpl w:val="6BFE7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A5023D"/>
    <w:multiLevelType w:val="hybridMultilevel"/>
    <w:tmpl w:val="B8B0B54A"/>
    <w:lvl w:ilvl="0" w:tplc="D8361F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7991B28"/>
    <w:multiLevelType w:val="hybridMultilevel"/>
    <w:tmpl w:val="EA2E8E16"/>
    <w:lvl w:ilvl="0" w:tplc="8FAE8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6806F8"/>
    <w:multiLevelType w:val="hybridMultilevel"/>
    <w:tmpl w:val="CFA6CECE"/>
    <w:lvl w:ilvl="0" w:tplc="6FBC0288">
      <w:start w:val="1"/>
      <w:numFmt w:val="upperRoman"/>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hyphenationZone w:val="425"/>
  <w:characterSpacingControl w:val="doNotCompress"/>
  <w:footnotePr>
    <w:footnote w:id="0"/>
    <w:footnote w:id="1"/>
  </w:footnotePr>
  <w:endnotePr>
    <w:endnote w:id="0"/>
    <w:endnote w:id="1"/>
  </w:endnotePr>
  <w:compat/>
  <w:rsids>
    <w:rsidRoot w:val="00EA0123"/>
    <w:rsid w:val="00003CFF"/>
    <w:rsid w:val="00025575"/>
    <w:rsid w:val="0002645E"/>
    <w:rsid w:val="00044E3A"/>
    <w:rsid w:val="000D0951"/>
    <w:rsid w:val="00172544"/>
    <w:rsid w:val="00184969"/>
    <w:rsid w:val="001E0452"/>
    <w:rsid w:val="00214602"/>
    <w:rsid w:val="00286092"/>
    <w:rsid w:val="003140C8"/>
    <w:rsid w:val="00342D0C"/>
    <w:rsid w:val="00343875"/>
    <w:rsid w:val="00355BE1"/>
    <w:rsid w:val="00397CB0"/>
    <w:rsid w:val="003A2774"/>
    <w:rsid w:val="003A7B55"/>
    <w:rsid w:val="003B519F"/>
    <w:rsid w:val="00426EF5"/>
    <w:rsid w:val="00432A98"/>
    <w:rsid w:val="00554911"/>
    <w:rsid w:val="005E133F"/>
    <w:rsid w:val="006D4265"/>
    <w:rsid w:val="00751047"/>
    <w:rsid w:val="00860152"/>
    <w:rsid w:val="00911DEB"/>
    <w:rsid w:val="00975CA4"/>
    <w:rsid w:val="009F3696"/>
    <w:rsid w:val="00A02527"/>
    <w:rsid w:val="00A2683E"/>
    <w:rsid w:val="00B22D1C"/>
    <w:rsid w:val="00B70DAC"/>
    <w:rsid w:val="00BB6BE1"/>
    <w:rsid w:val="00BC13C0"/>
    <w:rsid w:val="00C65089"/>
    <w:rsid w:val="00CA05DB"/>
    <w:rsid w:val="00D10A63"/>
    <w:rsid w:val="00D205AE"/>
    <w:rsid w:val="00E6094E"/>
    <w:rsid w:val="00E83891"/>
    <w:rsid w:val="00EA0123"/>
    <w:rsid w:val="00ED5AE8"/>
    <w:rsid w:val="00EF749E"/>
    <w:rsid w:val="00F640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140C8"/>
    <w:pPr>
      <w:ind w:left="720"/>
      <w:contextualSpacing/>
    </w:pPr>
  </w:style>
  <w:style w:type="table" w:styleId="TableGrid">
    <w:name w:val="Table Grid"/>
    <w:basedOn w:val="TableNormal"/>
    <w:uiPriority w:val="59"/>
    <w:rsid w:val="0031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86092"/>
  </w:style>
  <w:style w:type="character" w:customStyle="1" w:styleId="apple-converted-space">
    <w:name w:val="apple-converted-space"/>
    <w:basedOn w:val="DefaultParagraphFont"/>
    <w:rsid w:val="00286092"/>
  </w:style>
  <w:style w:type="paragraph" w:styleId="Header">
    <w:name w:val="header"/>
    <w:basedOn w:val="Normal"/>
    <w:link w:val="HeaderChar"/>
    <w:uiPriority w:val="99"/>
    <w:unhideWhenUsed/>
    <w:rsid w:val="008601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0152"/>
  </w:style>
  <w:style w:type="paragraph" w:styleId="Footer">
    <w:name w:val="footer"/>
    <w:basedOn w:val="Normal"/>
    <w:link w:val="FooterChar"/>
    <w:uiPriority w:val="99"/>
    <w:semiHidden/>
    <w:unhideWhenUsed/>
    <w:rsid w:val="0086015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60152"/>
  </w:style>
  <w:style w:type="paragraph" w:styleId="BalloonText">
    <w:name w:val="Balloon Text"/>
    <w:basedOn w:val="Normal"/>
    <w:link w:val="BalloonTextChar"/>
    <w:uiPriority w:val="99"/>
    <w:semiHidden/>
    <w:unhideWhenUsed/>
    <w:rsid w:val="0086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152"/>
    <w:rPr>
      <w:rFonts w:ascii="Tahoma" w:hAnsi="Tahoma" w:cs="Tahoma"/>
      <w:sz w:val="16"/>
      <w:szCs w:val="16"/>
    </w:rPr>
  </w:style>
  <w:style w:type="table" w:styleId="LightGrid-Accent1">
    <w:name w:val="Light Grid Accent 1"/>
    <w:basedOn w:val="TableNormal"/>
    <w:uiPriority w:val="62"/>
    <w:rsid w:val="008601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342D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264457497">
      <w:bodyDiv w:val="1"/>
      <w:marLeft w:val="0"/>
      <w:marRight w:val="0"/>
      <w:marTop w:val="0"/>
      <w:marBottom w:val="0"/>
      <w:divBdr>
        <w:top w:val="none" w:sz="0" w:space="0" w:color="auto"/>
        <w:left w:val="none" w:sz="0" w:space="0" w:color="auto"/>
        <w:bottom w:val="none" w:sz="0" w:space="0" w:color="auto"/>
        <w:right w:val="none" w:sz="0" w:space="0" w:color="auto"/>
      </w:divBdr>
    </w:div>
    <w:div w:id="542716948">
      <w:bodyDiv w:val="1"/>
      <w:marLeft w:val="0"/>
      <w:marRight w:val="0"/>
      <w:marTop w:val="0"/>
      <w:marBottom w:val="0"/>
      <w:divBdr>
        <w:top w:val="none" w:sz="0" w:space="0" w:color="auto"/>
        <w:left w:val="none" w:sz="0" w:space="0" w:color="auto"/>
        <w:bottom w:val="none" w:sz="0" w:space="0" w:color="auto"/>
        <w:right w:val="none" w:sz="0" w:space="0" w:color="auto"/>
      </w:divBdr>
    </w:div>
    <w:div w:id="5934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B85E636F1F484A5AA87C4D0AA024B49B"/>
        <w:category>
          <w:name w:val="Général"/>
          <w:gallery w:val="placeholder"/>
        </w:category>
        <w:types>
          <w:type w:val="bbPlcHdr"/>
        </w:types>
        <w:behaviors>
          <w:behavior w:val="content"/>
        </w:behaviors>
        <w:guid w:val="{272E5B75-A05C-47F2-9C3C-E4814D264CB4}"/>
      </w:docPartPr>
      <w:docPartBody>
        <w:p w:rsidR="007D7290" w:rsidRDefault="005B55AA" w:rsidP="005B55AA">
          <w:pPr>
            <w:pStyle w:val="B85E636F1F484A5AA87C4D0AA024B49B"/>
          </w:pPr>
          <w:r>
            <w:rPr>
              <w:rFonts w:asciiTheme="majorHAnsi" w:eastAsiaTheme="majorEastAsia" w:hAnsiTheme="majorHAnsi" w:cstheme="majorBidi"/>
              <w:sz w:val="36"/>
              <w:szCs w:val="36"/>
            </w:rPr>
            <w:t>[Tapez le titre du document]</w:t>
          </w:r>
        </w:p>
      </w:docPartBody>
    </w:docPart>
    <w:docPart>
      <w:docPartPr>
        <w:name w:val="8245EAEE2BD74B518ADC9703ABB9D0AD"/>
        <w:category>
          <w:name w:val="Général"/>
          <w:gallery w:val="placeholder"/>
        </w:category>
        <w:types>
          <w:type w:val="bbPlcHdr"/>
        </w:types>
        <w:behaviors>
          <w:behavior w:val="content"/>
        </w:behaviors>
        <w:guid w:val="{A88B4CF8-4E89-4C9B-9437-F54E969C88E8}"/>
      </w:docPartPr>
      <w:docPartBody>
        <w:p w:rsidR="007D7290" w:rsidRDefault="005B55AA" w:rsidP="005B55AA">
          <w:pPr>
            <w:pStyle w:val="8245EAEE2BD74B518ADC9703ABB9D0A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5B55AA"/>
    <w:rsid w:val="0018369F"/>
    <w:rsid w:val="005B55AA"/>
    <w:rsid w:val="007D7290"/>
    <w:rsid w:val="00B93297"/>
    <w:rsid w:val="00C464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2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85E636F1F484A5AA87C4D0AA024B49B">
    <w:name w:val="B85E636F1F484A5AA87C4D0AA024B49B"/>
    <w:rsid w:val="005B55AA"/>
  </w:style>
  <w:style w:type="paragraph" w:customStyle="1" w:styleId="8245EAEE2BD74B518ADC9703ABB9D0AD">
    <w:name w:val="8245EAEE2BD74B518ADC9703ABB9D0AD"/>
    <w:rsid w:val="005B55AA"/>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TD N 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24A45-0ACD-4A84-852C-C3737EEE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658</Words>
  <Characters>3378</Characters>
  <Application>Microsoft Word 12.0.0</Application>
  <DocSecurity>0</DocSecurity>
  <Lines>114</Lines>
  <Paragraphs>44</Paragraphs>
  <ScaleCrop>false</ScaleCrop>
  <HeadingPairs>
    <vt:vector size="2" baseType="variant">
      <vt:variant>
        <vt:lpstr>Title</vt:lpstr>
      </vt:variant>
      <vt:variant>
        <vt:i4>1</vt:i4>
      </vt:variant>
    </vt:vector>
  </HeadingPairs>
  <TitlesOfParts>
    <vt:vector size="1" baseType="lpstr">
      <vt:lpstr>Mandat ad hoc</vt:lpstr>
    </vt:vector>
  </TitlesOfParts>
  <Manager/>
  <Company>GEA Nantes</Company>
  <LinksUpToDate>false</LinksUpToDate>
  <CharactersWithSpaces>4011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ad hoc</dc:title>
  <dc:subject/>
  <dc:creator>GEAN</dc:creator>
  <cp:keywords/>
  <dc:description/>
  <cp:lastModifiedBy>GEA Nantes</cp:lastModifiedBy>
  <cp:revision>6</cp:revision>
  <dcterms:created xsi:type="dcterms:W3CDTF">2011-11-18T07:32:00Z</dcterms:created>
  <dcterms:modified xsi:type="dcterms:W3CDTF">2012-11-21T09:54:00Z</dcterms:modified>
  <cp:category/>
</cp:coreProperties>
</file>