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word/charts/chart1.xml" ContentType="application/vnd.openxmlformats-officedocument.drawingml.chart+xml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bin" ContentType="application/vnd.openxmlformats-officedocument.oleObject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rawings/drawing1.xml" ContentType="application/vnd.openxmlformats-officedocument.drawingml.chartshapes+xml"/>
  <Override PartName="/word/settings.xml" ContentType="application/vnd.openxmlformats-officedocument.wordprocessingml.settings+xml"/>
  <Default Extension="rels" ContentType="application/vnd.openxmlformats-package.relationship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07EB0" w:rsidRDefault="00E07EB0" w:rsidP="00E07EB0">
      <w:pPr>
        <w:jc w:val="center"/>
        <w:rPr>
          <w:rFonts w:asciiTheme="minorHAnsi" w:hAnsiTheme="minorHAnsi"/>
          <w:b/>
          <w:szCs w:val="24"/>
        </w:rPr>
      </w:pPr>
      <w:r w:rsidRPr="0011240C">
        <w:rPr>
          <w:rFonts w:asciiTheme="minorHAnsi" w:hAnsiTheme="minorHAnsi"/>
          <w:b/>
          <w:szCs w:val="24"/>
        </w:rPr>
        <w:t>M83</w:t>
      </w:r>
      <w:r>
        <w:rPr>
          <w:rFonts w:asciiTheme="minorHAnsi" w:hAnsiTheme="minorHAnsi"/>
          <w:b/>
          <w:szCs w:val="24"/>
        </w:rPr>
        <w:t>3</w:t>
      </w:r>
      <w:r w:rsidRPr="0011240C">
        <w:rPr>
          <w:rFonts w:asciiTheme="minorHAnsi" w:hAnsiTheme="minorHAnsi"/>
          <w:b/>
          <w:szCs w:val="24"/>
        </w:rPr>
        <w:t xml:space="preserve"> – </w:t>
      </w:r>
      <w:r>
        <w:rPr>
          <w:rFonts w:asciiTheme="minorHAnsi" w:hAnsiTheme="minorHAnsi"/>
          <w:b/>
          <w:szCs w:val="24"/>
        </w:rPr>
        <w:t>calcul et analyse des coûts</w:t>
      </w:r>
    </w:p>
    <w:p w:rsidR="0026307A" w:rsidRPr="0011240C" w:rsidRDefault="0026307A" w:rsidP="00E07EB0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PMO1, PMO2, PMO3</w:t>
      </w:r>
    </w:p>
    <w:p w:rsidR="00E07EB0" w:rsidRPr="0011240C" w:rsidRDefault="00E07EB0" w:rsidP="00E07EB0">
      <w:pPr>
        <w:jc w:val="center"/>
        <w:rPr>
          <w:rFonts w:asciiTheme="minorHAnsi" w:hAnsiTheme="minorHAnsi"/>
          <w:b/>
          <w:szCs w:val="24"/>
        </w:rPr>
      </w:pPr>
      <w:r w:rsidRPr="0011240C">
        <w:rPr>
          <w:rFonts w:asciiTheme="minorHAnsi" w:hAnsiTheme="minorHAnsi"/>
          <w:b/>
          <w:szCs w:val="24"/>
        </w:rPr>
        <w:t xml:space="preserve">Contrôle du </w:t>
      </w:r>
      <w:r>
        <w:rPr>
          <w:rFonts w:asciiTheme="minorHAnsi" w:hAnsiTheme="minorHAnsi"/>
          <w:b/>
          <w:szCs w:val="24"/>
        </w:rPr>
        <w:t>24 novembre</w:t>
      </w:r>
      <w:r w:rsidRPr="0011240C">
        <w:rPr>
          <w:rFonts w:asciiTheme="minorHAnsi" w:hAnsiTheme="minorHAnsi"/>
          <w:b/>
          <w:szCs w:val="24"/>
        </w:rPr>
        <w:t xml:space="preserve"> 2011</w:t>
      </w:r>
    </w:p>
    <w:p w:rsidR="00E07EB0" w:rsidRPr="009F461C" w:rsidRDefault="00E07EB0" w:rsidP="00E07EB0">
      <w:pPr>
        <w:jc w:val="center"/>
        <w:rPr>
          <w:rFonts w:asciiTheme="minorHAnsi" w:hAnsiTheme="minorHAnsi"/>
          <w:b/>
        </w:rPr>
      </w:pPr>
    </w:p>
    <w:p w:rsidR="00E07EB0" w:rsidRPr="0011240C" w:rsidRDefault="00E07EB0" w:rsidP="00E07EB0">
      <w:pPr>
        <w:rPr>
          <w:rFonts w:asciiTheme="minorHAnsi" w:hAnsiTheme="minorHAnsi"/>
          <w:b/>
          <w:i/>
          <w:sz w:val="22"/>
          <w:szCs w:val="22"/>
        </w:rPr>
      </w:pPr>
      <w:r w:rsidRPr="0011240C">
        <w:rPr>
          <w:rFonts w:asciiTheme="minorHAnsi" w:hAnsiTheme="minorHAnsi"/>
          <w:b/>
          <w:i/>
          <w:sz w:val="22"/>
          <w:szCs w:val="22"/>
        </w:rPr>
        <w:t>Durée : 2 heures</w:t>
      </w:r>
    </w:p>
    <w:p w:rsidR="00E07EB0" w:rsidRDefault="00E07EB0" w:rsidP="00F22DAA">
      <w:pPr>
        <w:jc w:val="both"/>
        <w:rPr>
          <w:rFonts w:asciiTheme="minorHAnsi" w:hAnsiTheme="minorHAnsi"/>
          <w:sz w:val="22"/>
          <w:szCs w:val="22"/>
        </w:rPr>
      </w:pPr>
    </w:p>
    <w:p w:rsidR="00E07EB0" w:rsidRPr="00D1071A" w:rsidRDefault="00D1071A" w:rsidP="00F22DAA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1071A">
        <w:rPr>
          <w:rFonts w:asciiTheme="minorHAnsi" w:hAnsiTheme="minorHAnsi"/>
          <w:b/>
          <w:sz w:val="22"/>
          <w:szCs w:val="22"/>
          <w:u w:val="single"/>
        </w:rPr>
        <w:t>Exercice n°1 :</w:t>
      </w:r>
    </w:p>
    <w:p w:rsidR="00D1071A" w:rsidRDefault="00D1071A" w:rsidP="00F22DAA">
      <w:pPr>
        <w:jc w:val="both"/>
        <w:rPr>
          <w:rFonts w:asciiTheme="minorHAnsi" w:hAnsiTheme="minorHAnsi"/>
          <w:sz w:val="22"/>
          <w:szCs w:val="22"/>
        </w:rPr>
      </w:pPr>
    </w:p>
    <w:p w:rsidR="00F22DAA" w:rsidRDefault="00383E4F" w:rsidP="00F22DA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L’entreprise STIME fabrique deux types de cuit vapeur :</w:t>
      </w:r>
    </w:p>
    <w:p w:rsidR="00306E87" w:rsidRDefault="00306E87" w:rsidP="00F22DA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306E87">
        <w:rPr>
          <w:rFonts w:asciiTheme="minorHAnsi" w:hAnsiTheme="minorHAnsi"/>
          <w:sz w:val="22"/>
          <w:szCs w:val="22"/>
        </w:rPr>
        <w:t xml:space="preserve">Le </w:t>
      </w:r>
      <w:r w:rsidR="00243C58">
        <w:rPr>
          <w:rFonts w:asciiTheme="minorHAnsi" w:hAnsiTheme="minorHAnsi"/>
          <w:sz w:val="22"/>
          <w:szCs w:val="22"/>
        </w:rPr>
        <w:t>BASIC</w:t>
      </w:r>
      <w:r w:rsidRPr="00306E87">
        <w:rPr>
          <w:rFonts w:asciiTheme="minorHAnsi" w:hAnsiTheme="minorHAnsi"/>
          <w:sz w:val="22"/>
          <w:szCs w:val="22"/>
        </w:rPr>
        <w:t>, en plastique qu’elle produit à partir de pièces pré fabriquées par son fournisseur</w:t>
      </w:r>
      <w:r>
        <w:rPr>
          <w:rFonts w:ascii="Calibri" w:hAnsi="Calibri"/>
          <w:sz w:val="22"/>
          <w:szCs w:val="22"/>
        </w:rPr>
        <w:t>,</w:t>
      </w:r>
    </w:p>
    <w:p w:rsidR="00F22DAA" w:rsidRPr="00306E87" w:rsidRDefault="00F22DAA" w:rsidP="00F22DA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306E87">
        <w:rPr>
          <w:rFonts w:ascii="Calibri" w:hAnsi="Calibri"/>
          <w:sz w:val="22"/>
          <w:szCs w:val="22"/>
        </w:rPr>
        <w:t xml:space="preserve">Le </w:t>
      </w:r>
      <w:r w:rsidR="00243C58">
        <w:rPr>
          <w:rFonts w:ascii="Calibri" w:hAnsi="Calibri"/>
          <w:sz w:val="22"/>
          <w:szCs w:val="22"/>
        </w:rPr>
        <w:t>DELUX</w:t>
      </w:r>
      <w:r w:rsidR="00501396" w:rsidRPr="00306E87">
        <w:rPr>
          <w:rFonts w:asciiTheme="minorHAnsi" w:hAnsiTheme="minorHAnsi"/>
          <w:sz w:val="22"/>
          <w:szCs w:val="22"/>
        </w:rPr>
        <w:t>,</w:t>
      </w:r>
      <w:r w:rsidR="00383E4F" w:rsidRPr="00306E87">
        <w:rPr>
          <w:rFonts w:asciiTheme="minorHAnsi" w:hAnsiTheme="minorHAnsi"/>
          <w:sz w:val="22"/>
          <w:szCs w:val="22"/>
        </w:rPr>
        <w:t xml:space="preserve"> en </w:t>
      </w:r>
      <w:r w:rsidR="00306E87">
        <w:rPr>
          <w:rFonts w:asciiTheme="minorHAnsi" w:hAnsiTheme="minorHAnsi"/>
          <w:sz w:val="22"/>
          <w:szCs w:val="22"/>
        </w:rPr>
        <w:t>inox</w:t>
      </w:r>
      <w:r w:rsidR="00383E4F" w:rsidRPr="00306E87">
        <w:rPr>
          <w:rFonts w:asciiTheme="minorHAnsi" w:hAnsiTheme="minorHAnsi"/>
          <w:sz w:val="22"/>
          <w:szCs w:val="22"/>
        </w:rPr>
        <w:t xml:space="preserve"> qu’elle produit entièrement à partir de matières brutes</w:t>
      </w:r>
      <w:r w:rsidR="00306E87">
        <w:rPr>
          <w:rFonts w:asciiTheme="minorHAnsi" w:hAnsiTheme="minorHAnsi"/>
          <w:sz w:val="22"/>
          <w:szCs w:val="22"/>
        </w:rPr>
        <w:t>.</w:t>
      </w:r>
    </w:p>
    <w:p w:rsidR="00F22DAA" w:rsidRPr="00F22DAA" w:rsidRDefault="00F22DAA" w:rsidP="00F22DAA">
      <w:pPr>
        <w:jc w:val="both"/>
        <w:rPr>
          <w:rFonts w:ascii="Calibri" w:hAnsi="Calibri"/>
          <w:sz w:val="22"/>
          <w:szCs w:val="22"/>
        </w:rPr>
      </w:pPr>
    </w:p>
    <w:p w:rsidR="00481C48" w:rsidRDefault="00F22DAA" w:rsidP="00F22DAA">
      <w:pPr>
        <w:jc w:val="both"/>
        <w:rPr>
          <w:rFonts w:asciiTheme="minorHAnsi" w:hAnsiTheme="minorHAnsi"/>
          <w:sz w:val="22"/>
          <w:szCs w:val="22"/>
        </w:rPr>
      </w:pPr>
      <w:r w:rsidRPr="00F22DAA">
        <w:rPr>
          <w:rFonts w:ascii="Calibri" w:hAnsi="Calibri"/>
          <w:sz w:val="22"/>
          <w:szCs w:val="22"/>
        </w:rPr>
        <w:t>Ces deux produits sont fabriqués dans le même atelier : les charges indirectes de cet atelier de fabrication sont imputées aux produits en fonction d</w:t>
      </w:r>
      <w:r w:rsidR="00481C48">
        <w:rPr>
          <w:rFonts w:asciiTheme="minorHAnsi" w:hAnsiTheme="minorHAnsi"/>
          <w:sz w:val="22"/>
          <w:szCs w:val="22"/>
        </w:rPr>
        <w:t xml:space="preserve">u </w:t>
      </w:r>
      <w:r w:rsidR="00A04AAF">
        <w:rPr>
          <w:rFonts w:asciiTheme="minorHAnsi" w:hAnsiTheme="minorHAnsi"/>
          <w:sz w:val="22"/>
          <w:szCs w:val="22"/>
        </w:rPr>
        <w:t>coût des matières premières consommées par chaque type de produit</w:t>
      </w:r>
      <w:r w:rsidR="00481C48">
        <w:rPr>
          <w:rFonts w:asciiTheme="minorHAnsi" w:hAnsiTheme="minorHAnsi"/>
          <w:sz w:val="22"/>
          <w:szCs w:val="22"/>
        </w:rPr>
        <w:t>.</w:t>
      </w:r>
      <w:r w:rsidR="00A04AAF">
        <w:rPr>
          <w:rFonts w:asciiTheme="minorHAnsi" w:hAnsiTheme="minorHAnsi"/>
          <w:sz w:val="22"/>
          <w:szCs w:val="22"/>
        </w:rPr>
        <w:t xml:space="preserve"> L</w:t>
      </w:r>
      <w:r w:rsidR="00481C48">
        <w:rPr>
          <w:rFonts w:asciiTheme="minorHAnsi" w:hAnsiTheme="minorHAnsi"/>
          <w:sz w:val="22"/>
          <w:szCs w:val="22"/>
        </w:rPr>
        <w:t xml:space="preserve">’entreprise calcule et analyse ses coûts par la méthode des coûts complets. </w:t>
      </w:r>
    </w:p>
    <w:p w:rsidR="00A04AAF" w:rsidRPr="00F22DAA" w:rsidRDefault="00A04AAF" w:rsidP="00A04AA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Les consommations de matières premières par p</w:t>
      </w:r>
      <w:r w:rsidR="00501396">
        <w:rPr>
          <w:rFonts w:asciiTheme="minorHAnsi" w:hAnsiTheme="minorHAnsi"/>
          <w:sz w:val="22"/>
          <w:szCs w:val="22"/>
        </w:rPr>
        <w:t>roduit</w:t>
      </w:r>
      <w:r>
        <w:rPr>
          <w:rFonts w:asciiTheme="minorHAnsi" w:hAnsiTheme="minorHAnsi"/>
          <w:sz w:val="22"/>
          <w:szCs w:val="22"/>
        </w:rPr>
        <w:t xml:space="preserve"> sont de 3€ pour </w:t>
      </w:r>
      <w:r w:rsidR="00243C58">
        <w:rPr>
          <w:rFonts w:asciiTheme="minorHAnsi" w:hAnsiTheme="minorHAnsi"/>
          <w:sz w:val="22"/>
          <w:szCs w:val="22"/>
        </w:rPr>
        <w:t>DELUX</w:t>
      </w:r>
      <w:r w:rsidR="00350C54">
        <w:rPr>
          <w:rFonts w:asciiTheme="minorHAnsi" w:hAnsiTheme="minorHAnsi"/>
          <w:sz w:val="22"/>
          <w:szCs w:val="22"/>
        </w:rPr>
        <w:t xml:space="preserve"> et de 10</w:t>
      </w:r>
      <w:r>
        <w:rPr>
          <w:rFonts w:asciiTheme="minorHAnsi" w:hAnsiTheme="minorHAnsi"/>
          <w:sz w:val="22"/>
          <w:szCs w:val="22"/>
        </w:rPr>
        <w:t xml:space="preserve">€ pour </w:t>
      </w:r>
      <w:r w:rsidR="00243C58">
        <w:rPr>
          <w:rFonts w:asciiTheme="minorHAnsi" w:hAnsiTheme="minorHAnsi"/>
          <w:sz w:val="22"/>
          <w:szCs w:val="22"/>
        </w:rPr>
        <w:t>BASIC</w:t>
      </w:r>
      <w:r>
        <w:rPr>
          <w:rFonts w:asciiTheme="minorHAnsi" w:hAnsiTheme="minorHAnsi"/>
          <w:sz w:val="22"/>
          <w:szCs w:val="22"/>
        </w:rPr>
        <w:t>.</w:t>
      </w:r>
    </w:p>
    <w:p w:rsidR="00481C48" w:rsidRDefault="00481C48" w:rsidP="00F22DAA">
      <w:pPr>
        <w:jc w:val="both"/>
        <w:rPr>
          <w:rFonts w:asciiTheme="minorHAnsi" w:hAnsiTheme="minorHAnsi"/>
          <w:sz w:val="22"/>
          <w:szCs w:val="22"/>
        </w:rPr>
      </w:pPr>
    </w:p>
    <w:p w:rsidR="00F22DAA" w:rsidRPr="00F22DAA" w:rsidRDefault="00A04AAF" w:rsidP="00F22DA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 ailleurs, </w:t>
      </w:r>
      <w:r w:rsidR="00501396">
        <w:rPr>
          <w:rFonts w:asciiTheme="minorHAnsi" w:hAnsiTheme="minorHAnsi"/>
          <w:sz w:val="22"/>
          <w:szCs w:val="22"/>
        </w:rPr>
        <w:t>le produit</w:t>
      </w:r>
      <w:r w:rsidR="00F22DAA">
        <w:rPr>
          <w:rFonts w:asciiTheme="minorHAnsi" w:hAnsiTheme="minorHAnsi"/>
          <w:sz w:val="22"/>
          <w:szCs w:val="22"/>
        </w:rPr>
        <w:t xml:space="preserve"> </w:t>
      </w:r>
      <w:r w:rsidR="00306E87">
        <w:rPr>
          <w:rFonts w:asciiTheme="minorHAnsi" w:hAnsiTheme="minorHAnsi"/>
          <w:sz w:val="22"/>
          <w:szCs w:val="22"/>
        </w:rPr>
        <w:t>DELUX</w:t>
      </w:r>
      <w:r w:rsidR="00F22DAA">
        <w:rPr>
          <w:rFonts w:asciiTheme="minorHAnsi" w:hAnsiTheme="minorHAnsi"/>
          <w:sz w:val="22"/>
          <w:szCs w:val="22"/>
        </w:rPr>
        <w:t xml:space="preserve"> demande </w:t>
      </w:r>
      <w:r>
        <w:rPr>
          <w:rFonts w:asciiTheme="minorHAnsi" w:hAnsiTheme="minorHAnsi"/>
          <w:sz w:val="22"/>
          <w:szCs w:val="22"/>
        </w:rPr>
        <w:t>1</w:t>
      </w:r>
      <w:r w:rsidR="00350C54">
        <w:rPr>
          <w:rFonts w:asciiTheme="minorHAnsi" w:hAnsiTheme="minorHAnsi"/>
          <w:sz w:val="22"/>
          <w:szCs w:val="22"/>
        </w:rPr>
        <w:t>5</w:t>
      </w:r>
      <w:r w:rsidR="00F22DAA">
        <w:rPr>
          <w:rFonts w:asciiTheme="minorHAnsi" w:hAnsiTheme="minorHAnsi"/>
          <w:sz w:val="22"/>
          <w:szCs w:val="22"/>
        </w:rPr>
        <w:t xml:space="preserve"> minutes de t</w:t>
      </w:r>
      <w:r w:rsidR="00481C48">
        <w:rPr>
          <w:rFonts w:asciiTheme="minorHAnsi" w:hAnsiTheme="minorHAnsi"/>
          <w:sz w:val="22"/>
          <w:szCs w:val="22"/>
        </w:rPr>
        <w:t xml:space="preserve">ravail, </w:t>
      </w:r>
      <w:r w:rsidR="00501396">
        <w:rPr>
          <w:rFonts w:asciiTheme="minorHAnsi" w:hAnsiTheme="minorHAnsi"/>
          <w:sz w:val="22"/>
          <w:szCs w:val="22"/>
        </w:rPr>
        <w:t>le</w:t>
      </w:r>
      <w:r w:rsidR="00481C48">
        <w:rPr>
          <w:rFonts w:asciiTheme="minorHAnsi" w:hAnsiTheme="minorHAnsi"/>
          <w:sz w:val="22"/>
          <w:szCs w:val="22"/>
        </w:rPr>
        <w:t xml:space="preserve"> </w:t>
      </w:r>
      <w:r w:rsidR="00306E87">
        <w:rPr>
          <w:rFonts w:asciiTheme="minorHAnsi" w:hAnsiTheme="minorHAnsi"/>
          <w:sz w:val="22"/>
          <w:szCs w:val="22"/>
        </w:rPr>
        <w:t>BASIC</w:t>
      </w:r>
      <w:r w:rsidR="00481C48">
        <w:rPr>
          <w:rFonts w:asciiTheme="minorHAnsi" w:hAnsiTheme="minorHAnsi"/>
          <w:sz w:val="22"/>
          <w:szCs w:val="22"/>
        </w:rPr>
        <w:t xml:space="preserve"> 5</w:t>
      </w:r>
      <w:r w:rsidR="00F22DAA">
        <w:rPr>
          <w:rFonts w:asciiTheme="minorHAnsi" w:hAnsiTheme="minorHAnsi"/>
          <w:sz w:val="22"/>
          <w:szCs w:val="22"/>
        </w:rPr>
        <w:t xml:space="preserve"> minutes. Le coût de la main d’œuvre directe est de 15€ par heure</w:t>
      </w:r>
      <w:r w:rsidR="00481C48">
        <w:rPr>
          <w:rFonts w:asciiTheme="minorHAnsi" w:hAnsiTheme="minorHAnsi"/>
          <w:sz w:val="22"/>
          <w:szCs w:val="22"/>
        </w:rPr>
        <w:t>.</w:t>
      </w:r>
    </w:p>
    <w:p w:rsidR="00F22DAA" w:rsidRDefault="00F22DAA" w:rsidP="00F22DAA">
      <w:pPr>
        <w:jc w:val="both"/>
        <w:rPr>
          <w:rFonts w:asciiTheme="minorHAnsi" w:hAnsiTheme="minorHAnsi"/>
          <w:sz w:val="22"/>
          <w:szCs w:val="22"/>
        </w:rPr>
      </w:pPr>
    </w:p>
    <w:p w:rsidR="00E07EB0" w:rsidRDefault="00E07EB0" w:rsidP="00F22DA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prix de BASIC est de 23€, celui de DELUX de 55€.</w:t>
      </w:r>
    </w:p>
    <w:p w:rsidR="00E07EB0" w:rsidRDefault="00E07EB0" w:rsidP="00F22DAA">
      <w:pPr>
        <w:jc w:val="both"/>
        <w:rPr>
          <w:rFonts w:asciiTheme="minorHAnsi" w:hAnsiTheme="minorHAnsi"/>
          <w:sz w:val="22"/>
          <w:szCs w:val="22"/>
        </w:rPr>
      </w:pPr>
    </w:p>
    <w:p w:rsidR="00F22DAA" w:rsidRDefault="00481C48" w:rsidP="00F22DA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Le dirigeant de l’entreprise s’</w:t>
      </w:r>
      <w:r w:rsidR="00A04AAF">
        <w:rPr>
          <w:rFonts w:asciiTheme="minorHAnsi" w:hAnsiTheme="minorHAnsi"/>
          <w:sz w:val="22"/>
          <w:szCs w:val="22"/>
        </w:rPr>
        <w:t>inte</w:t>
      </w:r>
      <w:r>
        <w:rPr>
          <w:rFonts w:asciiTheme="minorHAnsi" w:hAnsiTheme="minorHAnsi"/>
          <w:sz w:val="22"/>
          <w:szCs w:val="22"/>
        </w:rPr>
        <w:t>rroge sur la pertinence du modèle de calcul de coûts retenu</w:t>
      </w:r>
      <w:r w:rsidR="00F67038">
        <w:rPr>
          <w:rFonts w:asciiTheme="minorHAnsi" w:hAnsiTheme="minorHAnsi"/>
          <w:sz w:val="22"/>
          <w:szCs w:val="22"/>
        </w:rPr>
        <w:t xml:space="preserve"> et notamment sur le choix de l’unité d’œuvre pour répartir les coûts de l’atelier fabrication. </w:t>
      </w:r>
      <w:r w:rsidR="00A04AAF">
        <w:rPr>
          <w:rFonts w:asciiTheme="minorHAnsi" w:hAnsiTheme="minorHAnsi"/>
          <w:sz w:val="22"/>
          <w:szCs w:val="22"/>
        </w:rPr>
        <w:t>Il vous demande votre avis.</w:t>
      </w:r>
    </w:p>
    <w:p w:rsidR="00A04AAF" w:rsidRPr="00F22DAA" w:rsidRDefault="00A04AAF" w:rsidP="00F22DAA">
      <w:pPr>
        <w:jc w:val="both"/>
        <w:rPr>
          <w:rFonts w:ascii="Calibri" w:hAnsi="Calibri"/>
          <w:sz w:val="22"/>
          <w:szCs w:val="22"/>
        </w:rPr>
      </w:pPr>
    </w:p>
    <w:p w:rsidR="00F22DAA" w:rsidRDefault="00F22DAA" w:rsidP="00F22DAA">
      <w:pPr>
        <w:jc w:val="both"/>
        <w:rPr>
          <w:rFonts w:asciiTheme="minorHAnsi" w:hAnsiTheme="minorHAnsi"/>
          <w:sz w:val="22"/>
          <w:szCs w:val="22"/>
        </w:rPr>
      </w:pPr>
      <w:r w:rsidRPr="00F22DAA">
        <w:rPr>
          <w:rFonts w:ascii="Calibri" w:hAnsi="Calibri"/>
          <w:sz w:val="22"/>
          <w:szCs w:val="22"/>
        </w:rPr>
        <w:t xml:space="preserve">Au cours du </w:t>
      </w:r>
      <w:r>
        <w:rPr>
          <w:rFonts w:asciiTheme="minorHAnsi" w:hAnsiTheme="minorHAnsi"/>
          <w:sz w:val="22"/>
          <w:szCs w:val="22"/>
        </w:rPr>
        <w:t>premier trimestre 2011, les coûts du centre fabrication se présentent ainsi :</w:t>
      </w:r>
    </w:p>
    <w:p w:rsidR="00F22DAA" w:rsidRDefault="00F22DAA" w:rsidP="00F22DA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4628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193"/>
        <w:gridCol w:w="1781"/>
        <w:gridCol w:w="1781"/>
        <w:gridCol w:w="1781"/>
      </w:tblGrid>
      <w:tr w:rsidR="00F22DAA" w:rsidRPr="00082277">
        <w:trPr>
          <w:tblCellSpacing w:w="0" w:type="dxa"/>
          <w:jc w:val="center"/>
        </w:trPr>
        <w:tc>
          <w:tcPr>
            <w:tcW w:w="18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082277" w:rsidRDefault="00F22DAA" w:rsidP="008218F9">
            <w:pPr>
              <w:pStyle w:val="NormalWeb1"/>
              <w:jc w:val="both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082277" w:rsidRDefault="00F22DAA" w:rsidP="008218F9">
            <w:pPr>
              <w:pStyle w:val="NormalWeb1"/>
              <w:rPr>
                <w:rFonts w:ascii="Calibri" w:hAnsi="Calibri"/>
                <w:b/>
                <w:szCs w:val="22"/>
              </w:rPr>
            </w:pPr>
            <w:r w:rsidRPr="00082277">
              <w:rPr>
                <w:rFonts w:asciiTheme="minorHAnsi" w:hAnsiTheme="minorHAnsi"/>
                <w:b/>
                <w:sz w:val="22"/>
                <w:szCs w:val="22"/>
              </w:rPr>
              <w:t>Janvier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082277" w:rsidRDefault="00F22DAA" w:rsidP="008218F9">
            <w:pPr>
              <w:pStyle w:val="NormalWeb1"/>
              <w:rPr>
                <w:rFonts w:ascii="Calibri" w:hAnsi="Calibri"/>
                <w:b/>
                <w:szCs w:val="22"/>
              </w:rPr>
            </w:pPr>
            <w:r w:rsidRPr="00082277">
              <w:rPr>
                <w:rFonts w:asciiTheme="minorHAnsi" w:hAnsiTheme="minorHAnsi"/>
                <w:b/>
                <w:sz w:val="22"/>
                <w:szCs w:val="22"/>
              </w:rPr>
              <w:t>Février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082277" w:rsidRDefault="00F22DAA" w:rsidP="008218F9">
            <w:pPr>
              <w:pStyle w:val="NormalWeb1"/>
              <w:rPr>
                <w:rFonts w:ascii="Calibri" w:hAnsi="Calibri"/>
                <w:b/>
                <w:szCs w:val="22"/>
              </w:rPr>
            </w:pPr>
            <w:r w:rsidRPr="00082277">
              <w:rPr>
                <w:rFonts w:asciiTheme="minorHAnsi" w:hAnsiTheme="minorHAnsi"/>
                <w:b/>
                <w:sz w:val="22"/>
                <w:szCs w:val="22"/>
              </w:rPr>
              <w:t>Mars</w:t>
            </w:r>
          </w:p>
        </w:tc>
      </w:tr>
      <w:tr w:rsidR="00F22DAA" w:rsidRPr="00F22DAA">
        <w:trPr>
          <w:tblCellSpacing w:w="0" w:type="dxa"/>
          <w:jc w:val="center"/>
        </w:trPr>
        <w:tc>
          <w:tcPr>
            <w:tcW w:w="18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F22DAA" w:rsidRDefault="00F22DAA" w:rsidP="008218F9">
            <w:pPr>
              <w:pStyle w:val="NormalWeb1"/>
              <w:jc w:val="both"/>
              <w:rPr>
                <w:rFonts w:ascii="Calibri" w:hAnsi="Calibri"/>
                <w:szCs w:val="22"/>
              </w:rPr>
            </w:pPr>
            <w:r w:rsidRPr="00F22DAA">
              <w:rPr>
                <w:rFonts w:ascii="Calibri" w:hAnsi="Calibri"/>
                <w:sz w:val="22"/>
                <w:szCs w:val="22"/>
              </w:rPr>
              <w:t xml:space="preserve">Nb de </w:t>
            </w:r>
            <w:r w:rsidR="00306E87">
              <w:rPr>
                <w:rFonts w:asciiTheme="minorHAnsi" w:hAnsiTheme="minorHAnsi"/>
                <w:sz w:val="22"/>
                <w:szCs w:val="22"/>
              </w:rPr>
              <w:t>DELUX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7418FF" w:rsidRDefault="007418FF" w:rsidP="008218F9">
            <w:pPr>
              <w:pStyle w:val="NormalWeb1"/>
              <w:rPr>
                <w:rFonts w:ascii="Calibri" w:hAnsi="Calibri"/>
                <w:szCs w:val="22"/>
              </w:rPr>
            </w:pPr>
            <w:r w:rsidRPr="007418FF">
              <w:rPr>
                <w:rFonts w:asciiTheme="minorHAnsi" w:hAnsiTheme="minorHAnsi"/>
                <w:sz w:val="22"/>
                <w:szCs w:val="22"/>
              </w:rPr>
              <w:t>3 800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7418FF" w:rsidRDefault="004A2A30" w:rsidP="008218F9">
            <w:pPr>
              <w:pStyle w:val="NormalWeb1"/>
              <w:rPr>
                <w:rFonts w:ascii="Calibri" w:hAnsi="Calibr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3 9</w:t>
            </w:r>
            <w:r w:rsidR="007418FF" w:rsidRPr="007418FF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7418FF" w:rsidRDefault="007418FF" w:rsidP="008218F9">
            <w:pPr>
              <w:pStyle w:val="NormalWeb1"/>
              <w:rPr>
                <w:rFonts w:ascii="Calibri" w:hAnsi="Calibri"/>
                <w:szCs w:val="22"/>
              </w:rPr>
            </w:pPr>
            <w:r w:rsidRPr="007418FF">
              <w:rPr>
                <w:rFonts w:asciiTheme="minorHAnsi" w:hAnsiTheme="minorHAnsi"/>
                <w:sz w:val="22"/>
                <w:szCs w:val="22"/>
              </w:rPr>
              <w:t>4 100</w:t>
            </w:r>
          </w:p>
        </w:tc>
      </w:tr>
      <w:tr w:rsidR="00F22DAA" w:rsidRPr="00F22DAA">
        <w:trPr>
          <w:tblCellSpacing w:w="0" w:type="dxa"/>
          <w:jc w:val="center"/>
        </w:trPr>
        <w:tc>
          <w:tcPr>
            <w:tcW w:w="18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F22DAA" w:rsidRDefault="00F22DAA" w:rsidP="008218F9">
            <w:pPr>
              <w:pStyle w:val="NormalWeb1"/>
              <w:jc w:val="both"/>
              <w:rPr>
                <w:rFonts w:ascii="Calibri" w:hAnsi="Calibri"/>
                <w:szCs w:val="22"/>
              </w:rPr>
            </w:pPr>
            <w:r w:rsidRPr="00F22DAA">
              <w:rPr>
                <w:rFonts w:ascii="Calibri" w:hAnsi="Calibri"/>
                <w:sz w:val="22"/>
                <w:szCs w:val="22"/>
              </w:rPr>
              <w:t xml:space="preserve">Nb de </w:t>
            </w:r>
            <w:r w:rsidR="00306E87">
              <w:rPr>
                <w:rFonts w:asciiTheme="minorHAnsi" w:hAnsiTheme="minorHAnsi"/>
                <w:sz w:val="22"/>
                <w:szCs w:val="22"/>
              </w:rPr>
              <w:t>BASIC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7418FF" w:rsidRDefault="00481C48" w:rsidP="008218F9">
            <w:pPr>
              <w:pStyle w:val="NormalWeb1"/>
              <w:rPr>
                <w:rFonts w:ascii="Calibri" w:hAnsi="Calibr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7418FF" w:rsidRPr="007418FF">
              <w:rPr>
                <w:rFonts w:asciiTheme="minorHAnsi" w:hAnsiTheme="minorHAnsi"/>
                <w:sz w:val="22"/>
                <w:szCs w:val="22"/>
              </w:rPr>
              <w:t xml:space="preserve"> 000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7418FF" w:rsidRDefault="00E73A9E" w:rsidP="008218F9">
            <w:pPr>
              <w:pStyle w:val="NormalWeb1"/>
              <w:rPr>
                <w:rFonts w:ascii="Calibri" w:hAnsi="Calibr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4 9</w:t>
            </w:r>
            <w:r w:rsidR="007418FF" w:rsidRPr="007418FF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2DAA" w:rsidRPr="007418FF" w:rsidRDefault="00481C48" w:rsidP="008218F9">
            <w:pPr>
              <w:pStyle w:val="NormalWeb1"/>
              <w:rPr>
                <w:rFonts w:ascii="Calibri" w:hAnsi="Calibr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4 5</w:t>
            </w:r>
            <w:r w:rsidR="007418FF" w:rsidRPr="007418FF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  <w:tr w:rsidR="00082277" w:rsidRPr="00F22DAA">
        <w:trPr>
          <w:tblCellSpacing w:w="0" w:type="dxa"/>
          <w:jc w:val="center"/>
        </w:trPr>
        <w:tc>
          <w:tcPr>
            <w:tcW w:w="18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2277" w:rsidRPr="00F22DAA" w:rsidRDefault="00082277" w:rsidP="008218F9">
            <w:pPr>
              <w:pStyle w:val="NormalWeb1"/>
              <w:jc w:val="both"/>
              <w:rPr>
                <w:rFonts w:ascii="Calibri" w:hAnsi="Calibri"/>
                <w:szCs w:val="22"/>
              </w:rPr>
            </w:pPr>
            <w:r w:rsidRPr="00F22DAA">
              <w:rPr>
                <w:rFonts w:ascii="Calibri" w:hAnsi="Calibri"/>
                <w:sz w:val="22"/>
                <w:szCs w:val="22"/>
              </w:rPr>
              <w:t xml:space="preserve">Coûts </w:t>
            </w:r>
            <w:r>
              <w:rPr>
                <w:rFonts w:asciiTheme="minorHAnsi" w:hAnsiTheme="minorHAnsi"/>
                <w:sz w:val="22"/>
                <w:szCs w:val="22"/>
              </w:rPr>
              <w:t>atelier fabrication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2277" w:rsidRPr="007418FF" w:rsidRDefault="00243C58" w:rsidP="008218F9">
            <w:pPr>
              <w:pStyle w:val="NormalWeb1"/>
              <w:rPr>
                <w:rFonts w:ascii="Calibri" w:hAnsi="Calibr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250 0</w:t>
            </w:r>
            <w:r w:rsidR="00082277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2277" w:rsidRPr="007418FF" w:rsidRDefault="00243C58" w:rsidP="004A2A30">
            <w:pPr>
              <w:pStyle w:val="NormalWeb1"/>
              <w:rPr>
                <w:rFonts w:ascii="Calibri" w:hAnsi="Calibr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4A2A30">
              <w:rPr>
                <w:rFonts w:asciiTheme="minorHAnsi" w:hAnsiTheme="minorHAnsi"/>
                <w:sz w:val="22"/>
                <w:szCs w:val="22"/>
              </w:rPr>
              <w:t>40 00</w:t>
            </w:r>
            <w:r w:rsidR="00082277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0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2277" w:rsidRPr="007418FF" w:rsidRDefault="00E73A9E" w:rsidP="008218F9">
            <w:pPr>
              <w:pStyle w:val="NormalWeb1"/>
              <w:rPr>
                <w:rFonts w:ascii="Calibri" w:hAnsi="Calibr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242 50</w:t>
            </w:r>
            <w:r w:rsidR="00082277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</w:tbl>
    <w:p w:rsidR="00F22DAA" w:rsidRDefault="00F22DAA" w:rsidP="00F22DAA">
      <w:pPr>
        <w:jc w:val="both"/>
        <w:rPr>
          <w:rFonts w:asciiTheme="minorHAnsi" w:hAnsiTheme="minorHAnsi"/>
          <w:sz w:val="22"/>
          <w:szCs w:val="22"/>
        </w:rPr>
      </w:pPr>
    </w:p>
    <w:p w:rsidR="00001649" w:rsidRPr="00F22DAA" w:rsidRDefault="00001649">
      <w:pPr>
        <w:rPr>
          <w:rFonts w:asciiTheme="minorHAnsi" w:hAnsiTheme="minorHAnsi"/>
          <w:sz w:val="22"/>
          <w:szCs w:val="22"/>
        </w:rPr>
      </w:pPr>
    </w:p>
    <w:p w:rsidR="00F22DAA" w:rsidRPr="005957F9" w:rsidRDefault="00F22DAA" w:rsidP="00F22DAA">
      <w:pPr>
        <w:pStyle w:val="NormalWeb"/>
        <w:ind w:left="363"/>
        <w:rPr>
          <w:rFonts w:ascii="Calibri" w:hAnsi="Calibri" w:cs="Tahoma"/>
          <w:b/>
          <w:bCs/>
          <w:sz w:val="22"/>
          <w:szCs w:val="22"/>
          <w:u w:val="single"/>
        </w:rPr>
      </w:pPr>
      <w:r w:rsidRPr="005957F9">
        <w:rPr>
          <w:rFonts w:ascii="Calibri" w:hAnsi="Calibri" w:cs="Tahoma"/>
          <w:b/>
          <w:bCs/>
          <w:sz w:val="22"/>
          <w:szCs w:val="22"/>
          <w:u w:val="single"/>
        </w:rPr>
        <w:t xml:space="preserve">Partie 1 Construction d'un modèle de calcul en coûts complets </w:t>
      </w:r>
    </w:p>
    <w:p w:rsidR="00F22DAA" w:rsidRPr="00F67038" w:rsidRDefault="00F22DAA" w:rsidP="00F22DAA">
      <w:pPr>
        <w:pStyle w:val="NormalWeb"/>
        <w:ind w:left="363"/>
        <w:rPr>
          <w:rFonts w:ascii="Calibri" w:hAnsi="Calibri"/>
          <w:b/>
          <w:sz w:val="22"/>
          <w:szCs w:val="22"/>
        </w:rPr>
      </w:pPr>
    </w:p>
    <w:p w:rsidR="00F22DAA" w:rsidRPr="00F67038" w:rsidRDefault="00F67038" w:rsidP="00F22DAA">
      <w:pPr>
        <w:pStyle w:val="NormalWeb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F67038">
        <w:rPr>
          <w:rFonts w:asciiTheme="minorHAnsi" w:hAnsiTheme="minorHAnsi" w:cs="Tahoma"/>
          <w:b/>
          <w:iCs/>
          <w:sz w:val="22"/>
          <w:szCs w:val="22"/>
        </w:rPr>
        <w:t xml:space="preserve">En vous appuyant sur le graphique en annexe 1, déterminer </w:t>
      </w:r>
      <w:r w:rsidR="00F22DAA" w:rsidRPr="00F67038">
        <w:rPr>
          <w:rFonts w:ascii="Calibri" w:hAnsi="Calibri" w:cs="Tahoma"/>
          <w:b/>
          <w:iCs/>
          <w:sz w:val="22"/>
          <w:szCs w:val="22"/>
        </w:rPr>
        <w:t xml:space="preserve">l’unité d’œuvre </w:t>
      </w:r>
      <w:r w:rsidRPr="00F67038">
        <w:rPr>
          <w:rFonts w:asciiTheme="minorHAnsi" w:hAnsiTheme="minorHAnsi" w:cs="Tahoma"/>
          <w:b/>
          <w:iCs/>
          <w:sz w:val="22"/>
          <w:szCs w:val="22"/>
        </w:rPr>
        <w:t>la plus pertinente pour répartir les coûts du centre fabrication entre les deux produits.</w:t>
      </w:r>
      <w:r w:rsidR="002B091F">
        <w:rPr>
          <w:rFonts w:asciiTheme="minorHAnsi" w:hAnsiTheme="minorHAnsi" w:cs="Tahoma"/>
          <w:b/>
          <w:iCs/>
          <w:sz w:val="22"/>
          <w:szCs w:val="22"/>
        </w:rPr>
        <w:t xml:space="preserve"> Argumenter votre réponse.</w:t>
      </w:r>
    </w:p>
    <w:p w:rsidR="00F22DAA" w:rsidRPr="00F67038" w:rsidRDefault="00F67038" w:rsidP="00F22DAA">
      <w:pPr>
        <w:pStyle w:val="NormalWeb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F67038">
        <w:rPr>
          <w:rFonts w:asciiTheme="minorHAnsi" w:hAnsiTheme="minorHAnsi"/>
          <w:b/>
          <w:sz w:val="22"/>
          <w:szCs w:val="22"/>
        </w:rPr>
        <w:t>Etablir</w:t>
      </w:r>
      <w:r w:rsidR="00F22DAA" w:rsidRPr="00F67038">
        <w:rPr>
          <w:rFonts w:ascii="Calibri" w:hAnsi="Calibri"/>
          <w:b/>
          <w:sz w:val="22"/>
          <w:szCs w:val="22"/>
        </w:rPr>
        <w:t xml:space="preserve"> le coût complet </w:t>
      </w:r>
      <w:r w:rsidRPr="00F67038">
        <w:rPr>
          <w:rFonts w:asciiTheme="minorHAnsi" w:hAnsiTheme="minorHAnsi"/>
          <w:b/>
          <w:sz w:val="22"/>
          <w:szCs w:val="22"/>
        </w:rPr>
        <w:t xml:space="preserve">de </w:t>
      </w:r>
      <w:r w:rsidR="00306E87">
        <w:rPr>
          <w:rFonts w:asciiTheme="minorHAnsi" w:hAnsiTheme="minorHAnsi"/>
          <w:b/>
          <w:sz w:val="22"/>
          <w:szCs w:val="22"/>
        </w:rPr>
        <w:t>BASIC</w:t>
      </w:r>
      <w:r w:rsidRPr="00F67038">
        <w:rPr>
          <w:rFonts w:asciiTheme="minorHAnsi" w:hAnsiTheme="minorHAnsi"/>
          <w:b/>
          <w:sz w:val="22"/>
          <w:szCs w:val="22"/>
        </w:rPr>
        <w:t xml:space="preserve"> et </w:t>
      </w:r>
      <w:r w:rsidR="00306E87">
        <w:rPr>
          <w:rFonts w:asciiTheme="minorHAnsi" w:hAnsiTheme="minorHAnsi"/>
          <w:b/>
          <w:sz w:val="22"/>
          <w:szCs w:val="22"/>
        </w:rPr>
        <w:t>DELUX</w:t>
      </w:r>
      <w:r w:rsidRPr="00F67038">
        <w:rPr>
          <w:rFonts w:asciiTheme="minorHAnsi" w:hAnsiTheme="minorHAnsi"/>
          <w:b/>
          <w:sz w:val="22"/>
          <w:szCs w:val="22"/>
        </w:rPr>
        <w:t xml:space="preserve"> pour janvier en optant pour le temps de main d’œuvre passé sur chaque produit comme unité d’œuvre de l’atelier fabrication</w:t>
      </w:r>
      <w:r w:rsidR="00E73A9E">
        <w:rPr>
          <w:rFonts w:asciiTheme="minorHAnsi" w:hAnsiTheme="minorHAnsi"/>
          <w:b/>
          <w:sz w:val="22"/>
          <w:szCs w:val="22"/>
        </w:rPr>
        <w:t xml:space="preserve"> (annexe 2 à remplir et à rendre avec la copie)</w:t>
      </w:r>
      <w:r w:rsidRPr="00F67038">
        <w:rPr>
          <w:rFonts w:asciiTheme="minorHAnsi" w:hAnsiTheme="minorHAnsi"/>
          <w:b/>
          <w:sz w:val="22"/>
          <w:szCs w:val="22"/>
        </w:rPr>
        <w:t>.</w:t>
      </w:r>
      <w:r w:rsidR="00501396">
        <w:rPr>
          <w:rFonts w:asciiTheme="minorHAnsi" w:hAnsiTheme="minorHAnsi"/>
          <w:b/>
          <w:sz w:val="22"/>
          <w:szCs w:val="22"/>
        </w:rPr>
        <w:t xml:space="preserve"> Commenter.</w:t>
      </w:r>
    </w:p>
    <w:p w:rsidR="00F22DAA" w:rsidRPr="00F67038" w:rsidRDefault="00F22DAA" w:rsidP="00F22DAA">
      <w:pPr>
        <w:pStyle w:val="NormalWeb"/>
        <w:ind w:left="142"/>
        <w:rPr>
          <w:rFonts w:ascii="Calibri" w:hAnsi="Calibri"/>
          <w:b/>
          <w:sz w:val="22"/>
          <w:szCs w:val="22"/>
        </w:rPr>
      </w:pPr>
    </w:p>
    <w:p w:rsidR="00F22DAA" w:rsidRPr="00F67038" w:rsidRDefault="00F22DAA" w:rsidP="00F22DAA">
      <w:pPr>
        <w:pStyle w:val="NormalWeb"/>
        <w:ind w:left="363"/>
        <w:rPr>
          <w:rFonts w:ascii="Calibri" w:hAnsi="Calibri"/>
          <w:b/>
          <w:sz w:val="22"/>
          <w:szCs w:val="22"/>
        </w:rPr>
      </w:pPr>
      <w:bookmarkStart w:id="0" w:name="_13432051331"/>
      <w:bookmarkStart w:id="1" w:name="_13432053791"/>
      <w:bookmarkEnd w:id="0"/>
      <w:bookmarkEnd w:id="1"/>
    </w:p>
    <w:p w:rsidR="00F22DAA" w:rsidRPr="005957F9" w:rsidRDefault="00F22DAA" w:rsidP="00F22DAA">
      <w:pPr>
        <w:pStyle w:val="NormalWeb"/>
        <w:ind w:left="363"/>
        <w:rPr>
          <w:rFonts w:ascii="Calibri" w:hAnsi="Calibri"/>
          <w:b/>
          <w:sz w:val="22"/>
          <w:szCs w:val="22"/>
          <w:u w:val="single"/>
        </w:rPr>
      </w:pPr>
      <w:r w:rsidRPr="005957F9">
        <w:rPr>
          <w:rFonts w:ascii="Calibri" w:hAnsi="Calibri" w:cs="Tahoma"/>
          <w:b/>
          <w:bCs/>
          <w:sz w:val="22"/>
          <w:szCs w:val="22"/>
          <w:u w:val="single"/>
        </w:rPr>
        <w:t xml:space="preserve">Partie 2 Construction d'un modèle de calcul en coûts variables </w:t>
      </w:r>
    </w:p>
    <w:p w:rsidR="00F22DAA" w:rsidRPr="00F67038" w:rsidRDefault="00F22DAA" w:rsidP="00F22DAA">
      <w:pPr>
        <w:pStyle w:val="NormalWeb"/>
        <w:ind w:left="363"/>
        <w:rPr>
          <w:rFonts w:ascii="Calibri" w:hAnsi="Calibri"/>
          <w:b/>
          <w:sz w:val="22"/>
          <w:szCs w:val="22"/>
        </w:rPr>
      </w:pPr>
    </w:p>
    <w:p w:rsidR="00F22DAA" w:rsidRPr="00F67038" w:rsidRDefault="00F22DAA" w:rsidP="00F22DAA">
      <w:pPr>
        <w:pStyle w:val="NormalWeb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 w:rsidRPr="00F67038">
        <w:rPr>
          <w:rFonts w:ascii="Calibri" w:hAnsi="Calibri"/>
          <w:b/>
          <w:sz w:val="22"/>
          <w:szCs w:val="22"/>
        </w:rPr>
        <w:t>Modéliser le comportement des ch</w:t>
      </w:r>
      <w:r w:rsidR="00F67038" w:rsidRPr="00F67038">
        <w:rPr>
          <w:rFonts w:asciiTheme="minorHAnsi" w:hAnsiTheme="minorHAnsi"/>
          <w:b/>
          <w:sz w:val="22"/>
          <w:szCs w:val="22"/>
        </w:rPr>
        <w:t>arges de l’atelier fabrication.</w:t>
      </w:r>
    </w:p>
    <w:p w:rsidR="00F22DAA" w:rsidRPr="00F67038" w:rsidRDefault="00501396" w:rsidP="00F22DAA">
      <w:pPr>
        <w:pStyle w:val="NormalWeb"/>
        <w:numPr>
          <w:ilvl w:val="0"/>
          <w:numId w:val="2"/>
        </w:numPr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Etablir</w:t>
      </w:r>
      <w:r w:rsidR="00F22DAA" w:rsidRPr="00F67038">
        <w:rPr>
          <w:rFonts w:ascii="Calibri" w:hAnsi="Calibri"/>
          <w:b/>
          <w:sz w:val="22"/>
          <w:szCs w:val="22"/>
        </w:rPr>
        <w:t xml:space="preserve"> les coûts variables et les marges sur coûts variables des </w:t>
      </w:r>
      <w:r w:rsidR="00F67038" w:rsidRPr="00F67038">
        <w:rPr>
          <w:rFonts w:asciiTheme="minorHAnsi" w:hAnsiTheme="minorHAnsi"/>
          <w:b/>
          <w:sz w:val="22"/>
          <w:szCs w:val="22"/>
        </w:rPr>
        <w:t xml:space="preserve">produits </w:t>
      </w:r>
      <w:r w:rsidR="00306E87">
        <w:rPr>
          <w:rFonts w:asciiTheme="minorHAnsi" w:hAnsiTheme="minorHAnsi"/>
          <w:b/>
          <w:sz w:val="22"/>
          <w:szCs w:val="22"/>
        </w:rPr>
        <w:t>BASIC</w:t>
      </w:r>
      <w:r w:rsidR="00F67038" w:rsidRPr="00F67038">
        <w:rPr>
          <w:rFonts w:asciiTheme="minorHAnsi" w:hAnsiTheme="minorHAnsi"/>
          <w:b/>
          <w:sz w:val="22"/>
          <w:szCs w:val="22"/>
        </w:rPr>
        <w:t xml:space="preserve"> et </w:t>
      </w:r>
      <w:r w:rsidR="00306E87">
        <w:rPr>
          <w:rFonts w:asciiTheme="minorHAnsi" w:hAnsiTheme="minorHAnsi"/>
          <w:b/>
          <w:sz w:val="22"/>
          <w:szCs w:val="22"/>
        </w:rPr>
        <w:t>DELUX</w:t>
      </w:r>
      <w:r w:rsidR="00F67038" w:rsidRPr="00F67038">
        <w:rPr>
          <w:rFonts w:asciiTheme="minorHAnsi" w:hAnsiTheme="minorHAnsi"/>
          <w:b/>
          <w:sz w:val="22"/>
          <w:szCs w:val="22"/>
        </w:rPr>
        <w:t xml:space="preserve"> pour janvier 2011</w:t>
      </w:r>
      <w:r w:rsidR="00E73A9E">
        <w:rPr>
          <w:rFonts w:asciiTheme="minorHAnsi" w:hAnsiTheme="minorHAnsi"/>
          <w:b/>
          <w:sz w:val="22"/>
          <w:szCs w:val="22"/>
        </w:rPr>
        <w:t xml:space="preserve"> (annexe 3 à remplir et à rendre avec la copie)</w:t>
      </w:r>
      <w:r w:rsidR="00E73A9E" w:rsidRPr="00F67038">
        <w:rPr>
          <w:rFonts w:asciiTheme="minorHAnsi" w:hAnsiTheme="minorHAnsi"/>
          <w:b/>
          <w:sz w:val="22"/>
          <w:szCs w:val="22"/>
        </w:rPr>
        <w:t>.</w:t>
      </w:r>
      <w:r w:rsidR="00F22DAA" w:rsidRPr="00F67038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Commenter.</w:t>
      </w:r>
    </w:p>
    <w:p w:rsidR="00F22DAA" w:rsidRPr="00F67038" w:rsidRDefault="00F22DAA" w:rsidP="00F22DAA">
      <w:pPr>
        <w:pStyle w:val="NormalWeb"/>
        <w:rPr>
          <w:rFonts w:ascii="Calibri" w:hAnsi="Calibri"/>
          <w:b/>
          <w:sz w:val="22"/>
          <w:szCs w:val="22"/>
        </w:rPr>
      </w:pPr>
    </w:p>
    <w:p w:rsidR="00F22DAA" w:rsidRPr="005957F9" w:rsidRDefault="00F22DAA" w:rsidP="00F22DAA">
      <w:pPr>
        <w:pStyle w:val="NormalWeb"/>
        <w:ind w:left="363"/>
        <w:rPr>
          <w:rFonts w:ascii="Calibri" w:hAnsi="Calibri" w:cs="Tahoma"/>
          <w:b/>
          <w:bCs/>
          <w:sz w:val="22"/>
          <w:szCs w:val="22"/>
          <w:u w:val="single"/>
        </w:rPr>
      </w:pPr>
      <w:r w:rsidRPr="005957F9">
        <w:rPr>
          <w:rFonts w:ascii="Calibri" w:hAnsi="Calibri" w:cs="Tahoma"/>
          <w:b/>
          <w:bCs/>
          <w:sz w:val="22"/>
          <w:szCs w:val="22"/>
          <w:u w:val="single"/>
        </w:rPr>
        <w:t>Partie 3 Analyse des données</w:t>
      </w:r>
    </w:p>
    <w:p w:rsidR="00F22DAA" w:rsidRPr="00F67038" w:rsidRDefault="00F22DAA" w:rsidP="00F22DAA">
      <w:pPr>
        <w:pStyle w:val="NormalWeb"/>
        <w:ind w:left="363"/>
        <w:rPr>
          <w:rFonts w:ascii="Calibri" w:hAnsi="Calibri" w:cs="Tahoma"/>
          <w:b/>
          <w:bCs/>
          <w:sz w:val="22"/>
          <w:szCs w:val="22"/>
        </w:rPr>
      </w:pPr>
    </w:p>
    <w:p w:rsidR="00E9052C" w:rsidRPr="00E9052C" w:rsidRDefault="00F22DAA" w:rsidP="00F22DAA">
      <w:pPr>
        <w:pStyle w:val="NormalWeb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E9052C">
        <w:rPr>
          <w:rFonts w:ascii="Calibri" w:hAnsi="Calibri" w:cs="Tahoma"/>
          <w:b/>
          <w:iCs/>
          <w:sz w:val="22"/>
          <w:szCs w:val="22"/>
        </w:rPr>
        <w:t>Le prix pratiqué pour le modèle</w:t>
      </w:r>
      <w:r w:rsidR="00306E87" w:rsidRPr="00E9052C">
        <w:rPr>
          <w:rFonts w:asciiTheme="minorHAnsi" w:hAnsiTheme="minorHAnsi" w:cs="Tahoma"/>
          <w:b/>
          <w:iCs/>
          <w:sz w:val="22"/>
          <w:szCs w:val="22"/>
        </w:rPr>
        <w:t xml:space="preserve"> BASIC</w:t>
      </w:r>
      <w:r w:rsidRPr="00E9052C">
        <w:rPr>
          <w:rFonts w:ascii="Calibri" w:hAnsi="Calibri"/>
          <w:b/>
          <w:sz w:val="22"/>
          <w:szCs w:val="22"/>
        </w:rPr>
        <w:t xml:space="preserve"> vous semble</w:t>
      </w:r>
      <w:r w:rsidR="00306E87" w:rsidRPr="00E9052C">
        <w:rPr>
          <w:rFonts w:asciiTheme="minorHAnsi" w:hAnsiTheme="minorHAnsi"/>
          <w:b/>
          <w:sz w:val="22"/>
          <w:szCs w:val="22"/>
        </w:rPr>
        <w:t>-t-il pertinent</w:t>
      </w:r>
      <w:r w:rsidRPr="00E9052C">
        <w:rPr>
          <w:rFonts w:ascii="Calibri" w:hAnsi="Calibri"/>
          <w:b/>
          <w:sz w:val="22"/>
          <w:szCs w:val="22"/>
        </w:rPr>
        <w:t> ?</w:t>
      </w:r>
      <w:r w:rsidR="00E9052C" w:rsidRPr="00E9052C">
        <w:rPr>
          <w:rFonts w:ascii="Calibri" w:hAnsi="Calibri"/>
          <w:b/>
          <w:sz w:val="22"/>
          <w:szCs w:val="22"/>
        </w:rPr>
        <w:t xml:space="preserve"> </w:t>
      </w:r>
    </w:p>
    <w:p w:rsidR="00306E87" w:rsidRPr="00E9052C" w:rsidRDefault="00243C58" w:rsidP="00F22DAA">
      <w:pPr>
        <w:pStyle w:val="NormalWeb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 w:rsidRPr="00E9052C">
        <w:rPr>
          <w:rFonts w:asciiTheme="minorHAnsi" w:hAnsiTheme="minorHAnsi" w:cs="Tahoma"/>
          <w:b/>
          <w:iCs/>
          <w:sz w:val="22"/>
          <w:szCs w:val="22"/>
        </w:rPr>
        <w:t>Etablir les résultats globaux de STIME de janvier à mars</w:t>
      </w:r>
      <w:r w:rsidR="004A2A30" w:rsidRPr="00E9052C">
        <w:rPr>
          <w:rFonts w:asciiTheme="minorHAnsi" w:hAnsiTheme="minorHAnsi" w:cs="Tahoma"/>
          <w:b/>
          <w:iCs/>
          <w:sz w:val="22"/>
          <w:szCs w:val="22"/>
        </w:rPr>
        <w:t xml:space="preserve"> (justifier le modèle de calcul des coûts retenu)</w:t>
      </w:r>
      <w:r w:rsidRPr="00E9052C">
        <w:rPr>
          <w:rFonts w:asciiTheme="minorHAnsi" w:hAnsiTheme="minorHAnsi" w:cs="Tahoma"/>
          <w:b/>
          <w:iCs/>
          <w:sz w:val="22"/>
          <w:szCs w:val="22"/>
        </w:rPr>
        <w:t xml:space="preserve">. </w:t>
      </w:r>
      <w:r w:rsidR="00306E87" w:rsidRPr="00E9052C">
        <w:rPr>
          <w:rFonts w:asciiTheme="minorHAnsi" w:hAnsiTheme="minorHAnsi" w:cs="Tahoma"/>
          <w:b/>
          <w:iCs/>
          <w:sz w:val="22"/>
          <w:szCs w:val="22"/>
        </w:rPr>
        <w:t xml:space="preserve">L’évolution des quantités fabriquées et vendues de chacun des produits </w:t>
      </w:r>
      <w:r w:rsidRPr="00E9052C">
        <w:rPr>
          <w:rFonts w:asciiTheme="minorHAnsi" w:hAnsiTheme="minorHAnsi" w:cs="Tahoma"/>
          <w:b/>
          <w:iCs/>
          <w:sz w:val="22"/>
          <w:szCs w:val="22"/>
        </w:rPr>
        <w:t>durant cette période</w:t>
      </w:r>
      <w:r w:rsidR="00306E87" w:rsidRPr="00E9052C">
        <w:rPr>
          <w:rFonts w:asciiTheme="minorHAnsi" w:hAnsiTheme="minorHAnsi" w:cs="Tahoma"/>
          <w:b/>
          <w:iCs/>
          <w:sz w:val="22"/>
          <w:szCs w:val="22"/>
        </w:rPr>
        <w:t xml:space="preserve"> vous semble t’il aller dans le bon sens ?</w:t>
      </w:r>
    </w:p>
    <w:p w:rsidR="00306E87" w:rsidRPr="00306E87" w:rsidRDefault="00243C58" w:rsidP="00F22DAA">
      <w:pPr>
        <w:pStyle w:val="NormalWeb"/>
        <w:numPr>
          <w:ilvl w:val="0"/>
          <w:numId w:val="2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 marché du produit BASIC est très concurrentiel : STIME n’a aucune emprise sur le prix de ce produit. Que faudra t-il envisager à terme ?</w:t>
      </w:r>
    </w:p>
    <w:p w:rsidR="0026307A" w:rsidRDefault="0026307A" w:rsidP="005957F9">
      <w:pPr>
        <w:jc w:val="center"/>
        <w:rPr>
          <w:rFonts w:asciiTheme="minorHAnsi" w:hAnsiTheme="minorHAnsi"/>
          <w:b/>
          <w:szCs w:val="24"/>
        </w:rPr>
      </w:pPr>
    </w:p>
    <w:p w:rsidR="0026307A" w:rsidRDefault="00D1071A" w:rsidP="00D1071A">
      <w:pPr>
        <w:jc w:val="both"/>
        <w:rPr>
          <w:rFonts w:asciiTheme="minorHAnsi" w:hAnsiTheme="minorHAnsi"/>
          <w:b/>
          <w:szCs w:val="24"/>
          <w:u w:val="single"/>
        </w:rPr>
      </w:pPr>
      <w:r w:rsidRPr="00D1071A">
        <w:rPr>
          <w:rFonts w:asciiTheme="minorHAnsi" w:hAnsiTheme="minorHAnsi"/>
          <w:b/>
          <w:szCs w:val="24"/>
          <w:u w:val="single"/>
        </w:rPr>
        <w:t>Exercice n°2 :</w:t>
      </w:r>
    </w:p>
    <w:p w:rsidR="00D1071A" w:rsidRPr="00D1071A" w:rsidRDefault="00D1071A" w:rsidP="00D1071A">
      <w:pPr>
        <w:jc w:val="both"/>
        <w:rPr>
          <w:rFonts w:asciiTheme="minorHAnsi" w:hAnsiTheme="minorHAnsi"/>
          <w:b/>
          <w:szCs w:val="24"/>
          <w:u w:val="single"/>
        </w:rPr>
      </w:pPr>
    </w:p>
    <w:p w:rsidR="00D1071A" w:rsidRDefault="00D1071A" w:rsidP="00D1071A">
      <w:pPr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Vous exposerez en quelques lignes les intérêts </w:t>
      </w:r>
      <w:r w:rsidR="002B091F">
        <w:rPr>
          <w:rFonts w:asciiTheme="minorHAnsi" w:hAnsiTheme="minorHAnsi"/>
          <w:b/>
          <w:szCs w:val="24"/>
        </w:rPr>
        <w:t xml:space="preserve">et limites </w:t>
      </w:r>
      <w:r>
        <w:rPr>
          <w:rFonts w:asciiTheme="minorHAnsi" w:hAnsiTheme="minorHAnsi"/>
          <w:b/>
          <w:szCs w:val="24"/>
        </w:rPr>
        <w:t>respectifs des méthodes d’analyse de coûts en coûts complets et en variabilité et indiquerez dans quelle(s) situation</w:t>
      </w:r>
      <w:r w:rsidR="002B091F">
        <w:rPr>
          <w:rFonts w:asciiTheme="minorHAnsi" w:hAnsiTheme="minorHAnsi"/>
          <w:b/>
          <w:szCs w:val="24"/>
        </w:rPr>
        <w:t>(</w:t>
      </w:r>
      <w:r>
        <w:rPr>
          <w:rFonts w:asciiTheme="minorHAnsi" w:hAnsiTheme="minorHAnsi"/>
          <w:b/>
          <w:szCs w:val="24"/>
        </w:rPr>
        <w:t>s</w:t>
      </w:r>
      <w:r w:rsidR="002B091F">
        <w:rPr>
          <w:rFonts w:asciiTheme="minorHAnsi" w:hAnsiTheme="minorHAnsi"/>
          <w:b/>
          <w:szCs w:val="24"/>
        </w:rPr>
        <w:t>)</w:t>
      </w:r>
      <w:r>
        <w:rPr>
          <w:rFonts w:asciiTheme="minorHAnsi" w:hAnsiTheme="minorHAnsi"/>
          <w:b/>
          <w:szCs w:val="24"/>
        </w:rPr>
        <w:t xml:space="preserve"> on utilisera l’une ou l’autre de ces méthodes.</w:t>
      </w:r>
    </w:p>
    <w:p w:rsidR="00D1071A" w:rsidRDefault="00D1071A" w:rsidP="00D1071A">
      <w:pPr>
        <w:jc w:val="both"/>
        <w:rPr>
          <w:rFonts w:asciiTheme="minorHAnsi" w:hAnsiTheme="minorHAnsi"/>
          <w:b/>
          <w:szCs w:val="24"/>
        </w:rPr>
      </w:pPr>
    </w:p>
    <w:p w:rsidR="00D1071A" w:rsidRDefault="00D1071A" w:rsidP="00D1071A">
      <w:pPr>
        <w:jc w:val="both"/>
        <w:rPr>
          <w:rFonts w:asciiTheme="minorHAnsi" w:hAnsiTheme="minorHAnsi"/>
          <w:b/>
          <w:szCs w:val="24"/>
        </w:rPr>
      </w:pPr>
    </w:p>
    <w:p w:rsidR="005957F9" w:rsidRDefault="005957F9" w:rsidP="005957F9">
      <w:pPr>
        <w:jc w:val="center"/>
        <w:rPr>
          <w:rFonts w:asciiTheme="minorHAnsi" w:hAnsiTheme="minorHAnsi"/>
          <w:b/>
          <w:szCs w:val="24"/>
        </w:rPr>
      </w:pPr>
      <w:r w:rsidRPr="005957F9">
        <w:rPr>
          <w:rFonts w:asciiTheme="minorHAnsi" w:hAnsiTheme="minorHAnsi"/>
          <w:b/>
          <w:szCs w:val="24"/>
        </w:rPr>
        <w:t>Annexe 1</w:t>
      </w:r>
    </w:p>
    <w:p w:rsidR="005957F9" w:rsidRPr="005957F9" w:rsidRDefault="005957F9" w:rsidP="005957F9">
      <w:pPr>
        <w:jc w:val="center"/>
        <w:rPr>
          <w:rFonts w:asciiTheme="minorHAnsi" w:hAnsiTheme="minorHAnsi"/>
          <w:b/>
          <w:szCs w:val="24"/>
        </w:rPr>
      </w:pPr>
    </w:p>
    <w:p w:rsidR="005957F9" w:rsidRPr="005957F9" w:rsidRDefault="005957F9" w:rsidP="005957F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</w:t>
      </w:r>
      <w:r w:rsidRPr="005957F9">
        <w:rPr>
          <w:rFonts w:asciiTheme="minorHAnsi" w:hAnsiTheme="minorHAnsi"/>
          <w:b/>
          <w:sz w:val="22"/>
          <w:szCs w:val="22"/>
        </w:rPr>
        <w:t>oûts de l’atelier fabrication en fonction des matières premières consommées et de la main d’œuvre directe utilisée :</w:t>
      </w:r>
    </w:p>
    <w:p w:rsidR="005957F9" w:rsidRDefault="005957F9">
      <w:pPr>
        <w:rPr>
          <w:rFonts w:asciiTheme="minorHAnsi" w:hAnsiTheme="minorHAnsi"/>
          <w:sz w:val="22"/>
          <w:szCs w:val="22"/>
        </w:rPr>
      </w:pPr>
    </w:p>
    <w:p w:rsidR="005957F9" w:rsidRDefault="004A2A30" w:rsidP="0026307A">
      <w:pPr>
        <w:jc w:val="center"/>
        <w:rPr>
          <w:rFonts w:asciiTheme="minorHAnsi" w:hAnsiTheme="minorHAnsi"/>
          <w:sz w:val="22"/>
          <w:szCs w:val="22"/>
        </w:rPr>
      </w:pPr>
      <w:r w:rsidRPr="004A2A30">
        <w:rPr>
          <w:rFonts w:asciiTheme="minorHAnsi" w:hAnsiTheme="minorHAnsi"/>
          <w:noProof/>
          <w:sz w:val="22"/>
          <w:szCs w:val="22"/>
          <w:lang w:val="en-US" w:eastAsia="en-US"/>
        </w:rPr>
        <w:drawing>
          <wp:inline distT="0" distB="0" distL="0" distR="0">
            <wp:extent cx="5760720" cy="3707302"/>
            <wp:effectExtent l="19050" t="0" r="11430" b="7448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3A9E" w:rsidRDefault="00E73A9E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E73A9E" w:rsidRDefault="00E73A9E" w:rsidP="00E73A9E">
      <w:pPr>
        <w:jc w:val="center"/>
        <w:rPr>
          <w:rFonts w:asciiTheme="minorHAnsi" w:hAnsiTheme="minorHAnsi"/>
          <w:b/>
          <w:szCs w:val="24"/>
        </w:rPr>
      </w:pPr>
      <w:r w:rsidRPr="00E73A9E">
        <w:rPr>
          <w:rFonts w:asciiTheme="minorHAnsi" w:hAnsiTheme="minorHAnsi"/>
          <w:b/>
          <w:szCs w:val="24"/>
        </w:rPr>
        <w:t>Annexe 2 : méthode des coûts complets</w:t>
      </w:r>
    </w:p>
    <w:p w:rsidR="00E73A9E" w:rsidRPr="00E73A9E" w:rsidRDefault="00E73A9E" w:rsidP="00E73A9E">
      <w:pPr>
        <w:jc w:val="center"/>
        <w:rPr>
          <w:rFonts w:asciiTheme="minorHAnsi" w:hAnsiTheme="minorHAnsi"/>
          <w:b/>
          <w:szCs w:val="24"/>
        </w:rPr>
      </w:pPr>
    </w:p>
    <w:tbl>
      <w:tblPr>
        <w:tblW w:w="9907" w:type="dxa"/>
        <w:jc w:val="center"/>
        <w:tblInd w:w="-52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1"/>
        <w:gridCol w:w="1274"/>
        <w:gridCol w:w="1274"/>
        <w:gridCol w:w="1275"/>
        <w:gridCol w:w="1274"/>
        <w:gridCol w:w="1274"/>
        <w:gridCol w:w="1275"/>
      </w:tblGrid>
      <w:tr w:rsidR="00E73A9E" w:rsidRPr="00E73A9E">
        <w:trPr>
          <w:trHeight w:val="375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DELUX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BASIC</w:t>
            </w:r>
          </w:p>
        </w:tc>
      </w:tr>
      <w:tr w:rsidR="00E73A9E" w:rsidRPr="00E73A9E">
        <w:trPr>
          <w:trHeight w:val="375"/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CT</w:t>
            </w:r>
          </w:p>
        </w:tc>
      </w:tr>
      <w:tr w:rsidR="00E73A9E" w:rsidRPr="00E73A9E">
        <w:trPr>
          <w:trHeight w:val="375"/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Coûts directs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 w:val="28"/>
                <w:szCs w:val="28"/>
              </w:rPr>
            </w:pPr>
            <w:r w:rsidRPr="00E73A9E">
              <w:rPr>
                <w:rFonts w:ascii="Calibri" w:eastAsia="Times New Roman" w:hAnsi="Calibri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 w:val="28"/>
                <w:szCs w:val="28"/>
              </w:rPr>
            </w:pPr>
            <w:r w:rsidRPr="00E73A9E">
              <w:rPr>
                <w:rFonts w:ascii="Calibri" w:eastAsia="Times New Roman" w:hAnsi="Calibri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 w:val="28"/>
                <w:szCs w:val="28"/>
              </w:rPr>
            </w:pPr>
            <w:r w:rsidRPr="00E73A9E">
              <w:rPr>
                <w:rFonts w:ascii="Calibri" w:eastAsia="Times New Roman" w:hAnsi="Calibri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 w:val="28"/>
                <w:szCs w:val="28"/>
              </w:rPr>
            </w:pPr>
            <w:r w:rsidRPr="00E73A9E">
              <w:rPr>
                <w:rFonts w:ascii="Calibri" w:eastAsia="Times New Roman" w:hAnsi="Calibri"/>
                <w:sz w:val="28"/>
                <w:szCs w:val="2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 w:val="28"/>
                <w:szCs w:val="28"/>
              </w:rPr>
            </w:pPr>
            <w:r w:rsidRPr="00E73A9E">
              <w:rPr>
                <w:rFonts w:ascii="Calibri" w:eastAsia="Times New Roman" w:hAnsi="Calibri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 w:val="28"/>
                <w:szCs w:val="28"/>
              </w:rPr>
            </w:pPr>
            <w:r w:rsidRPr="00E73A9E">
              <w:rPr>
                <w:rFonts w:ascii="Calibri" w:eastAsia="Times New Roman" w:hAnsi="Calibri"/>
                <w:sz w:val="28"/>
                <w:szCs w:val="28"/>
              </w:rPr>
              <w:t> </w:t>
            </w:r>
          </w:p>
        </w:tc>
      </w:tr>
      <w:tr w:rsidR="00E73A9E" w:rsidRPr="00E73A9E">
        <w:trPr>
          <w:trHeight w:val="375"/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 xml:space="preserve">   Matière première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</w:tr>
      <w:tr w:rsidR="00E73A9E" w:rsidRPr="00E73A9E">
        <w:trPr>
          <w:trHeight w:val="375"/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 xml:space="preserve">   MOD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</w:tr>
      <w:tr w:rsidR="00E73A9E" w:rsidRPr="00E73A9E">
        <w:trPr>
          <w:trHeight w:val="375"/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Coûts indirects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color w:val="FF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color w:val="FF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color w:val="FF0000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color w:val="FF0000"/>
                <w:sz w:val="28"/>
                <w:szCs w:val="28"/>
              </w:rPr>
            </w:pPr>
          </w:p>
        </w:tc>
      </w:tr>
      <w:tr w:rsidR="00E73A9E" w:rsidRPr="00E73A9E">
        <w:trPr>
          <w:trHeight w:val="390"/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 xml:space="preserve">    Centre fabrication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 w:val="28"/>
                <w:szCs w:val="28"/>
              </w:rPr>
            </w:pPr>
          </w:p>
        </w:tc>
      </w:tr>
      <w:tr w:rsidR="00E73A9E" w:rsidRPr="00E73A9E">
        <w:trPr>
          <w:trHeight w:val="375"/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07EB0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Coût </w:t>
            </w:r>
            <w:r w:rsidR="00E73A9E"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comp</w:t>
            </w:r>
            <w:r>
              <w:rPr>
                <w:rFonts w:ascii="Calibri" w:eastAsia="Times New Roman" w:hAnsi="Calibri"/>
                <w:b/>
                <w:bCs/>
                <w:sz w:val="22"/>
                <w:szCs w:val="22"/>
              </w:rPr>
              <w:t>let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</w:tr>
      <w:tr w:rsidR="00E73A9E" w:rsidRPr="00E73A9E">
        <w:trPr>
          <w:trHeight w:val="390"/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</w:t>
            </w:r>
            <w:r w:rsidR="00E07EB0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hiffre d’Affaires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</w:tr>
      <w:tr w:rsidR="00E73A9E" w:rsidRPr="00E73A9E">
        <w:trPr>
          <w:trHeight w:val="375"/>
          <w:jc w:val="center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Résultat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 w:val="28"/>
                <w:szCs w:val="28"/>
              </w:rPr>
            </w:pPr>
          </w:p>
        </w:tc>
      </w:tr>
    </w:tbl>
    <w:p w:rsidR="00E73A9E" w:rsidRDefault="00E73A9E" w:rsidP="00E73A9E">
      <w:pPr>
        <w:jc w:val="center"/>
        <w:rPr>
          <w:rFonts w:asciiTheme="minorHAnsi" w:hAnsiTheme="minorHAnsi"/>
          <w:b/>
          <w:szCs w:val="24"/>
        </w:rPr>
      </w:pPr>
    </w:p>
    <w:p w:rsidR="00E07EB0" w:rsidRDefault="00E07EB0" w:rsidP="00E73A9E">
      <w:pPr>
        <w:jc w:val="center"/>
        <w:rPr>
          <w:rFonts w:asciiTheme="minorHAnsi" w:hAnsiTheme="minorHAnsi"/>
          <w:b/>
          <w:szCs w:val="24"/>
        </w:rPr>
      </w:pPr>
    </w:p>
    <w:p w:rsidR="00E07EB0" w:rsidRPr="00E73A9E" w:rsidRDefault="00E07EB0" w:rsidP="00E73A9E">
      <w:pPr>
        <w:jc w:val="center"/>
        <w:rPr>
          <w:rFonts w:asciiTheme="minorHAnsi" w:hAnsiTheme="minorHAnsi"/>
          <w:b/>
          <w:szCs w:val="24"/>
        </w:rPr>
      </w:pPr>
    </w:p>
    <w:p w:rsidR="00E73A9E" w:rsidRPr="00E73A9E" w:rsidRDefault="00E73A9E" w:rsidP="00E73A9E">
      <w:pPr>
        <w:jc w:val="center"/>
        <w:rPr>
          <w:rFonts w:asciiTheme="minorHAnsi" w:hAnsiTheme="minorHAnsi"/>
          <w:b/>
          <w:szCs w:val="24"/>
        </w:rPr>
      </w:pPr>
      <w:r w:rsidRPr="00E73A9E">
        <w:rPr>
          <w:rFonts w:asciiTheme="minorHAnsi" w:hAnsiTheme="minorHAnsi"/>
          <w:b/>
          <w:szCs w:val="24"/>
        </w:rPr>
        <w:t>Annexe 3 : méthode des coûts variables</w:t>
      </w:r>
    </w:p>
    <w:p w:rsidR="00E73A9E" w:rsidRDefault="00E73A9E">
      <w:pPr>
        <w:rPr>
          <w:rFonts w:asciiTheme="minorHAnsi" w:hAnsiTheme="minorHAnsi"/>
          <w:sz w:val="22"/>
          <w:szCs w:val="22"/>
        </w:rPr>
      </w:pPr>
    </w:p>
    <w:tbl>
      <w:tblPr>
        <w:tblW w:w="103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960"/>
        <w:gridCol w:w="1108"/>
        <w:gridCol w:w="1038"/>
        <w:gridCol w:w="1454"/>
        <w:gridCol w:w="1108"/>
        <w:gridCol w:w="1038"/>
        <w:gridCol w:w="1454"/>
        <w:gridCol w:w="1200"/>
      </w:tblGrid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DELUX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BASIC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bookmarkStart w:id="2" w:name="RANGE!D3"/>
            <w:bookmarkStart w:id="3" w:name="RANGE!D2"/>
            <w:bookmarkStart w:id="4" w:name="RANGE!D4"/>
            <w:bookmarkEnd w:id="2"/>
            <w:bookmarkEnd w:id="3"/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CT</w:t>
            </w:r>
            <w:bookmarkEnd w:id="4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Q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CU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center"/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 </w:t>
            </w:r>
          </w:p>
        </w:tc>
      </w:tr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Coûts variables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 </w:t>
            </w:r>
          </w:p>
        </w:tc>
      </w:tr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 xml:space="preserve">   Matière première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</w:tr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 xml:space="preserve">   MOD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</w:tr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07EB0" w:rsidP="00E73A9E">
            <w:pPr>
              <w:rPr>
                <w:rFonts w:ascii="Calibri" w:eastAsia="Times New Roman" w:hAnsi="Calibri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  Atelier </w:t>
            </w:r>
            <w:r w:rsidR="00E73A9E" w:rsidRPr="00E73A9E">
              <w:rPr>
                <w:rFonts w:ascii="Calibri" w:eastAsia="Times New Roman" w:hAnsi="Calibri"/>
                <w:sz w:val="22"/>
                <w:szCs w:val="22"/>
              </w:rPr>
              <w:t>fabrication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</w:tr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</w:tr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07EB0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bCs/>
                <w:sz w:val="22"/>
                <w:szCs w:val="22"/>
              </w:rPr>
              <w:t>C</w:t>
            </w:r>
            <w:r w:rsidRPr="00E07EB0">
              <w:rPr>
                <w:rFonts w:ascii="Calibri" w:eastAsia="Times New Roman" w:hAnsi="Calibri"/>
                <w:bCs/>
                <w:sz w:val="22"/>
                <w:szCs w:val="22"/>
              </w:rPr>
              <w:t>hiffre d’Affaires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</w:tr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  <w:r w:rsidRPr="00E73A9E">
              <w:rPr>
                <w:rFonts w:ascii="Calibri" w:eastAsia="Times New Roman" w:hAnsi="Calibri"/>
                <w:sz w:val="22"/>
                <w:szCs w:val="22"/>
              </w:rPr>
              <w:t>MSCV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</w:tr>
      <w:tr w:rsidR="00E73A9E" w:rsidRPr="00E73A9E">
        <w:trPr>
          <w:trHeight w:val="300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Coûts fixes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E73A9E" w:rsidRPr="00E73A9E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07EB0" w:rsidP="00E73A9E">
            <w:pPr>
              <w:rPr>
                <w:rFonts w:ascii="Calibri" w:eastAsia="Times New Roman" w:hAnsi="Calibri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  Atelier </w:t>
            </w:r>
            <w:r w:rsidR="00E73A9E" w:rsidRPr="00E73A9E">
              <w:rPr>
                <w:rFonts w:ascii="Calibri" w:eastAsia="Times New Roman" w:hAnsi="Calibri"/>
                <w:sz w:val="22"/>
                <w:szCs w:val="22"/>
              </w:rPr>
              <w:t>fabrication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szCs w:val="22"/>
              </w:rPr>
            </w:pPr>
          </w:p>
        </w:tc>
      </w:tr>
      <w:tr w:rsidR="00E73A9E" w:rsidRPr="00E73A9E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  <w:r w:rsidRPr="00E73A9E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Résultat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A9E" w:rsidRPr="00E73A9E" w:rsidRDefault="00E73A9E" w:rsidP="00E73A9E">
            <w:pPr>
              <w:jc w:val="right"/>
              <w:rPr>
                <w:rFonts w:ascii="Calibri" w:eastAsia="Times New Roman" w:hAnsi="Calibri"/>
                <w:b/>
                <w:bCs/>
                <w:szCs w:val="22"/>
              </w:rPr>
            </w:pPr>
          </w:p>
        </w:tc>
      </w:tr>
    </w:tbl>
    <w:p w:rsidR="00E73A9E" w:rsidRPr="00F22DAA" w:rsidRDefault="00E73A9E" w:rsidP="00E07EB0">
      <w:pPr>
        <w:jc w:val="center"/>
        <w:rPr>
          <w:rFonts w:asciiTheme="minorHAnsi" w:hAnsiTheme="minorHAnsi"/>
          <w:sz w:val="22"/>
          <w:szCs w:val="22"/>
        </w:rPr>
      </w:pPr>
    </w:p>
    <w:sectPr w:rsidR="00E73A9E" w:rsidRPr="00F22DAA" w:rsidSect="000016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AD79C8" w:rsidRDefault="00AD79C8" w:rsidP="00E07EB0">
      <w:r>
        <w:separator/>
      </w:r>
    </w:p>
  </w:endnote>
  <w:endnote w:type="continuationSeparator" w:id="1">
    <w:p w:rsidR="00AD79C8" w:rsidRDefault="00AD79C8" w:rsidP="00E07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25216641"/>
      <w:docPartObj>
        <w:docPartGallery w:val="Page Numbers (Bottom of Page)"/>
        <w:docPartUnique/>
      </w:docPartObj>
    </w:sdtPr>
    <w:sdtContent>
      <w:p w:rsidR="00E07EB0" w:rsidRDefault="00D8219E">
        <w:pPr>
          <w:pStyle w:val="Footer"/>
          <w:jc w:val="center"/>
        </w:pPr>
        <w:fldSimple w:instr=" PAGE   \* MERGEFORMAT ">
          <w:r w:rsidR="004644AF">
            <w:rPr>
              <w:noProof/>
            </w:rPr>
            <w:t>3</w:t>
          </w:r>
        </w:fldSimple>
      </w:p>
    </w:sdtContent>
  </w:sdt>
  <w:p w:rsidR="00E07EB0" w:rsidRDefault="00E07EB0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AD79C8" w:rsidRDefault="00AD79C8" w:rsidP="00E07EB0">
      <w:r>
        <w:separator/>
      </w:r>
    </w:p>
  </w:footnote>
  <w:footnote w:type="continuationSeparator" w:id="1">
    <w:p w:rsidR="00AD79C8" w:rsidRDefault="00AD79C8" w:rsidP="00E07EB0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E07EB0" w:rsidRPr="00E07EB0" w:rsidRDefault="00D8219E" w:rsidP="00E07EB0">
    <w:pPr>
      <w:pStyle w:val="Heading4"/>
      <w:jc w:val="center"/>
      <w:rPr>
        <w:rFonts w:ascii="Garamond" w:hAnsi="Garamond"/>
        <w:b w:val="0"/>
        <w:i w:val="0"/>
        <w:color w:val="auto"/>
        <w:sz w:val="30"/>
        <w:szCs w:val="30"/>
      </w:rPr>
    </w:pPr>
    <w:r w:rsidRPr="00D8219E">
      <w:rPr>
        <w:rFonts w:ascii="Garamond" w:hAnsi="Garamond"/>
        <w:b w:val="0"/>
        <w:i w:val="0"/>
        <w:noProof/>
        <w:color w:val="auto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3.25pt;margin-top:-14.25pt;width:46.5pt;height:51pt;z-index:-251658240;mso-wrap-edited:f" wrapcoords="-348 0 -348 21282 21600 21282 21600 0 -348 0" o:allowincell="f" fillcolor="window">
          <v:imagedata r:id="rId1" o:title=""/>
          <w10:wrap type="tight"/>
        </v:shape>
        <o:OLEObject Type="Embed" ProgID="Word.Picture.8" ShapeID="_x0000_s2049" DrawAspect="Content" ObjectID="_1288805307" r:id="rId2"/>
      </w:pict>
    </w:r>
    <w:r w:rsidR="00E07EB0" w:rsidRPr="00E07EB0">
      <w:rPr>
        <w:rFonts w:ascii="Garamond" w:hAnsi="Garamond"/>
        <w:b w:val="0"/>
        <w:i w:val="0"/>
        <w:color w:val="auto"/>
        <w:sz w:val="30"/>
        <w:szCs w:val="30"/>
      </w:rPr>
      <w:t>Département Gestion des Entreprises et des Administrations</w:t>
    </w:r>
  </w:p>
  <w:p w:rsidR="00E07EB0" w:rsidRPr="00E4255E" w:rsidRDefault="00E07EB0" w:rsidP="00E07EB0">
    <w:pPr>
      <w:ind w:left="-284" w:right="-567" w:firstLine="1985"/>
      <w:rPr>
        <w:rFonts w:ascii="Garamond" w:hAnsi="Garamond"/>
        <w:sz w:val="30"/>
      </w:rPr>
    </w:pPr>
    <w:r>
      <w:rPr>
        <w:rFonts w:ascii="Garamond" w:hAnsi="Garamond"/>
        <w:sz w:val="30"/>
      </w:rPr>
      <w:t>_________________________________________</w:t>
    </w:r>
  </w:p>
  <w:p w:rsidR="00E07EB0" w:rsidRPr="00E07EB0" w:rsidRDefault="00E07EB0" w:rsidP="00E07EB0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3856D08"/>
    <w:multiLevelType w:val="singleLevel"/>
    <w:tmpl w:val="542453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1B215F6"/>
    <w:multiLevelType w:val="hybridMultilevel"/>
    <w:tmpl w:val="4726D580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22DAA"/>
    <w:rsid w:val="00001649"/>
    <w:rsid w:val="00082277"/>
    <w:rsid w:val="000C2A89"/>
    <w:rsid w:val="00243C58"/>
    <w:rsid w:val="0026307A"/>
    <w:rsid w:val="002B091F"/>
    <w:rsid w:val="00306E87"/>
    <w:rsid w:val="00350C54"/>
    <w:rsid w:val="00383E4F"/>
    <w:rsid w:val="004644AF"/>
    <w:rsid w:val="00481C48"/>
    <w:rsid w:val="004A2A30"/>
    <w:rsid w:val="004B5189"/>
    <w:rsid w:val="00501396"/>
    <w:rsid w:val="005957F9"/>
    <w:rsid w:val="00701847"/>
    <w:rsid w:val="007376C7"/>
    <w:rsid w:val="007418FF"/>
    <w:rsid w:val="0081791D"/>
    <w:rsid w:val="009C3F57"/>
    <w:rsid w:val="00A04AAF"/>
    <w:rsid w:val="00A34418"/>
    <w:rsid w:val="00AD79C8"/>
    <w:rsid w:val="00BE1B7F"/>
    <w:rsid w:val="00C2035C"/>
    <w:rsid w:val="00C36222"/>
    <w:rsid w:val="00CE5FAD"/>
    <w:rsid w:val="00D1071A"/>
    <w:rsid w:val="00D8219E"/>
    <w:rsid w:val="00DA6BA2"/>
    <w:rsid w:val="00E07EB0"/>
    <w:rsid w:val="00E73A9E"/>
    <w:rsid w:val="00E9052C"/>
    <w:rsid w:val="00F22DAA"/>
    <w:rsid w:val="00F67038"/>
    <w:rsid w:val="00F87296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DAA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F22DAA"/>
    <w:pPr>
      <w:keepNext/>
      <w:jc w:val="center"/>
      <w:outlineLvl w:val="1"/>
    </w:pPr>
    <w:rPr>
      <w:rFonts w:ascii="Times New Roman" w:eastAsia="Times New Roman" w:hAnsi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E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F22DA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BodyText">
    <w:name w:val="Body Text"/>
    <w:basedOn w:val="Normal"/>
    <w:link w:val="BodyTextChar"/>
    <w:semiHidden/>
    <w:rsid w:val="00F22DAA"/>
    <w:pPr>
      <w:jc w:val="both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F22DA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rsid w:val="00F22DAA"/>
    <w:pPr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NormalWeb1">
    <w:name w:val="Normal (Web)1"/>
    <w:basedOn w:val="Normal"/>
    <w:rsid w:val="00F22DAA"/>
    <w:pPr>
      <w:spacing w:before="100" w:beforeAutospacing="1"/>
      <w:jc w:val="center"/>
    </w:pPr>
    <w:rPr>
      <w:rFonts w:ascii="Times New Roman" w:eastAsia="SimSun" w:hAnsi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F9"/>
    <w:rPr>
      <w:rFonts w:ascii="Tahoma" w:eastAsia="Times" w:hAnsi="Tahoma" w:cs="Tahoma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semiHidden/>
    <w:unhideWhenUsed/>
    <w:rsid w:val="00E07E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7EB0"/>
    <w:rPr>
      <w:rFonts w:ascii="Times" w:eastAsia="Times" w:hAnsi="Times" w:cs="Times New Roman"/>
      <w:sz w:val="24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E07E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EB0"/>
    <w:rPr>
      <w:rFonts w:ascii="Times" w:eastAsia="Times" w:hAnsi="Times" w:cs="Times New Roman"/>
      <w:sz w:val="24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E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hart" Target="charts/chart1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kervern-h\Mes%20documents\Controle%20Gestion\M833\M833_test1_2011_corrige.xlsx" TargetMode="External"/><Relationship Id="rId2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"/>
  <c:chart>
    <c:plotArea>
      <c:layout/>
      <c:scatterChart>
        <c:scatterStyle val="lineMarker"/>
        <c:ser>
          <c:idx val="0"/>
          <c:order val="0"/>
          <c:tx>
            <c:strRef>
              <c:f>'Partie 1'!$A$7</c:f>
              <c:strCache>
                <c:ptCount val="1"/>
                <c:pt idx="0">
                  <c:v>MP consommées</c:v>
                </c:pt>
              </c:strCache>
            </c:strRef>
          </c:tx>
          <c:spPr>
            <a:ln w="28575">
              <a:noFill/>
            </a:ln>
          </c:spPr>
          <c:xVal>
            <c:numRef>
              <c:f>'Partie 1'!$B$6:$D$6</c:f>
              <c:numCache>
                <c:formatCode>#,##0</c:formatCode>
                <c:ptCount val="3"/>
                <c:pt idx="0">
                  <c:v>250000.0</c:v>
                </c:pt>
                <c:pt idx="1">
                  <c:v>240000.0</c:v>
                </c:pt>
                <c:pt idx="2">
                  <c:v>242500.0</c:v>
                </c:pt>
              </c:numCache>
            </c:numRef>
          </c:xVal>
          <c:yVal>
            <c:numRef>
              <c:f>'Partie 1'!$B$7:$D$7</c:f>
              <c:numCache>
                <c:formatCode>#,##0</c:formatCode>
                <c:ptCount val="3"/>
                <c:pt idx="0">
                  <c:v>71400.0</c:v>
                </c:pt>
                <c:pt idx="1">
                  <c:v>60700.0</c:v>
                </c:pt>
                <c:pt idx="2">
                  <c:v>57300.0</c:v>
                </c:pt>
              </c:numCache>
            </c:numRef>
          </c:yVal>
        </c:ser>
        <c:ser>
          <c:idx val="1"/>
          <c:order val="1"/>
          <c:tx>
            <c:strRef>
              <c:f>'Partie 1'!$A$8</c:f>
              <c:strCache>
                <c:ptCount val="1"/>
                <c:pt idx="0">
                  <c:v>MOD</c:v>
                </c:pt>
              </c:strCache>
            </c:strRef>
          </c:tx>
          <c:spPr>
            <a:ln w="28575">
              <a:noFill/>
            </a:ln>
          </c:spPr>
          <c:xVal>
            <c:numRef>
              <c:f>'Partie 1'!$B$6:$D$6</c:f>
              <c:numCache>
                <c:formatCode>#,##0</c:formatCode>
                <c:ptCount val="3"/>
                <c:pt idx="0">
                  <c:v>250000.0</c:v>
                </c:pt>
                <c:pt idx="1">
                  <c:v>240000.0</c:v>
                </c:pt>
                <c:pt idx="2">
                  <c:v>242500.0</c:v>
                </c:pt>
              </c:numCache>
            </c:numRef>
          </c:xVal>
          <c:yVal>
            <c:numRef>
              <c:f>'Partie 1'!$B$8:$D$8</c:f>
              <c:numCache>
                <c:formatCode>#,##0</c:formatCode>
                <c:ptCount val="3"/>
                <c:pt idx="0">
                  <c:v>87000.0</c:v>
                </c:pt>
                <c:pt idx="1">
                  <c:v>83000.0</c:v>
                </c:pt>
                <c:pt idx="2">
                  <c:v>84000.0</c:v>
                </c:pt>
              </c:numCache>
            </c:numRef>
          </c:yVal>
        </c:ser>
        <c:axId val="523293912"/>
        <c:axId val="523296984"/>
      </c:scatterChart>
      <c:valAx>
        <c:axId val="523293912"/>
        <c:scaling>
          <c:orientation val="minMax"/>
        </c:scaling>
        <c:axPos val="b"/>
        <c:numFmt formatCode="#,##0" sourceLinked="1"/>
        <c:tickLblPos val="nextTo"/>
        <c:txPr>
          <a:bodyPr/>
          <a:lstStyle/>
          <a:p>
            <a:pPr>
              <a:defRPr lang="fr-FR"/>
            </a:pPr>
            <a:endParaRPr lang="en-US"/>
          </a:p>
        </c:txPr>
        <c:crossAx val="523296984"/>
        <c:crosses val="autoZero"/>
        <c:crossBetween val="midCat"/>
      </c:valAx>
      <c:valAx>
        <c:axId val="52329698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lang="fr-FR"/>
            </a:pPr>
            <a:endParaRPr lang="en-US"/>
          </a:p>
        </c:txPr>
        <c:crossAx val="523293912"/>
        <c:crosses val="autoZero"/>
        <c:crossBetween val="midCat"/>
      </c:valAx>
    </c:plotArea>
    <c:legend>
      <c:legendPos val="r"/>
      <c:txPr>
        <a:bodyPr/>
        <a:lstStyle/>
        <a:p>
          <a:pPr>
            <a:defRPr lang="fr-FR"/>
          </a:pPr>
          <a:endParaRPr lang="en-US"/>
        </a:p>
      </c:txPr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0.80484</cdr:x>
      <cdr:y>0.90977</cdr:y>
    </cdr:from>
    <cdr:to>
      <cdr:x>0.98548</cdr:x>
      <cdr:y>0.96992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4752975" y="3457575"/>
          <a:ext cx="10668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fr-FR" sz="1100" b="1"/>
            <a:t>Coûts fab.</a:t>
          </a:r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573</Words>
  <Characters>2799</Characters>
  <Application>Microsoft Word 12.0.0</Application>
  <DocSecurity>0</DocSecurity>
  <Lines>257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GEA Nantes</Company>
  <LinksUpToDate>false</LinksUpToDate>
  <CharactersWithSpaces>3343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 </dc:creator>
  <cp:keywords/>
  <dc:description/>
  <cp:lastModifiedBy>GEA Nantes</cp:lastModifiedBy>
  <cp:revision>10</cp:revision>
  <cp:lastPrinted>2011-11-23T14:12:00Z</cp:lastPrinted>
  <dcterms:created xsi:type="dcterms:W3CDTF">2011-11-21T10:34:00Z</dcterms:created>
  <dcterms:modified xsi:type="dcterms:W3CDTF">2012-11-20T19:42:00Z</dcterms:modified>
  <cp:category/>
</cp:coreProperties>
</file>