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A3019" w:rsidRDefault="00AB108D" w:rsidP="002850FD">
      <w:pPr>
        <w:pStyle w:val="NoSpacing"/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outlineLvl w:val="0"/>
        <w:rPr>
          <w:b/>
          <w:color w:val="FF0000"/>
          <w:sz w:val="30"/>
          <w:szCs w:val="30"/>
        </w:rPr>
      </w:pPr>
      <w:r w:rsidRPr="00BB0B1E">
        <w:rPr>
          <w:b/>
          <w:color w:val="FF0000"/>
          <w:sz w:val="30"/>
          <w:szCs w:val="30"/>
        </w:rPr>
        <w:t>Séance n°</w:t>
      </w:r>
      <w:r w:rsidR="00E927C2">
        <w:rPr>
          <w:b/>
          <w:color w:val="FF0000"/>
          <w:sz w:val="30"/>
          <w:szCs w:val="30"/>
        </w:rPr>
        <w:t>4</w:t>
      </w:r>
      <w:r w:rsidR="002F456D">
        <w:rPr>
          <w:b/>
          <w:color w:val="FF0000"/>
          <w:sz w:val="30"/>
          <w:szCs w:val="30"/>
        </w:rPr>
        <w:t> : La loi et le règlement</w:t>
      </w:r>
    </w:p>
    <w:p w:rsidR="004A3019" w:rsidRPr="004A3019" w:rsidRDefault="004A3019" w:rsidP="004A3019"/>
    <w:p w:rsidR="004A3019" w:rsidRPr="004A3019" w:rsidRDefault="004A3019" w:rsidP="004A3019"/>
    <w:p w:rsidR="005E7D02" w:rsidRDefault="00760C2D" w:rsidP="002850FD">
      <w:pPr>
        <w:outlineLvl w:val="0"/>
        <w:rPr>
          <w:sz w:val="28"/>
        </w:rPr>
      </w:pPr>
      <w:r>
        <w:rPr>
          <w:sz w:val="28"/>
        </w:rPr>
        <w:t>TD 2010-2011</w:t>
      </w:r>
    </w:p>
    <w:p w:rsidR="004A3019" w:rsidRPr="005E7D02" w:rsidRDefault="004A3019" w:rsidP="004A3019">
      <w:pPr>
        <w:rPr>
          <w:sz w:val="28"/>
        </w:rPr>
      </w:pPr>
      <w:r w:rsidRPr="005E7D02">
        <w:rPr>
          <w:sz w:val="28"/>
        </w:rPr>
        <w:t>La loi est un acte voté soit par les représentants de la nation (loi parlementaire) soit par le peuple lui-même (loi référendaire). Certaines lois dérogent de la procédure législative ordinaire en raison de leur objet (loi de finance, loi de la Sécurité Sociale, loi constitutionnelle, …)</w:t>
      </w:r>
    </w:p>
    <w:p w:rsidR="004A3019" w:rsidRPr="005E7D02" w:rsidRDefault="004A3019" w:rsidP="004A3019">
      <w:pPr>
        <w:rPr>
          <w:sz w:val="28"/>
        </w:rPr>
      </w:pPr>
      <w:r w:rsidRPr="005E7D02">
        <w:rPr>
          <w:sz w:val="28"/>
        </w:rPr>
        <w:t>Le règlement est un acte édicté par certaines autorités administratives, par celles qui détiennent le pouvoir règlementaire.</w:t>
      </w:r>
      <w:r w:rsidR="00FE2F9D" w:rsidRPr="005E7D02">
        <w:rPr>
          <w:sz w:val="28"/>
        </w:rPr>
        <w:t xml:space="preserve"> Le PdR et le 1</w:t>
      </w:r>
      <w:r w:rsidR="00FE2F9D" w:rsidRPr="005E7D02">
        <w:rPr>
          <w:sz w:val="28"/>
          <w:vertAlign w:val="superscript"/>
        </w:rPr>
        <w:t>er</w:t>
      </w:r>
      <w:r w:rsidR="00FE2F9D" w:rsidRPr="005E7D02">
        <w:rPr>
          <w:sz w:val="28"/>
        </w:rPr>
        <w:t xml:space="preserve"> Ministre se partagent le pouvoir règlementaire.</w:t>
      </w:r>
      <w:r w:rsidRPr="005E7D02">
        <w:rPr>
          <w:sz w:val="28"/>
        </w:rPr>
        <w:t xml:space="preserve"> Ils sont compétents pour édité les règles impératives, de portée g</w:t>
      </w:r>
      <w:r w:rsidR="00CA4382" w:rsidRPr="005E7D02">
        <w:rPr>
          <w:sz w:val="28"/>
        </w:rPr>
        <w:t>énérale, sur tout le territoire : l</w:t>
      </w:r>
      <w:r w:rsidRPr="005E7D02">
        <w:rPr>
          <w:sz w:val="28"/>
        </w:rPr>
        <w:t xml:space="preserve">es décrets. Ils sont soumis à des procédures d’élaboration (avis du Conseil d’Etat, délibération au Conseil des ministres). </w:t>
      </w:r>
      <w:r w:rsidR="00FE2F9D" w:rsidRPr="005E7D02">
        <w:rPr>
          <w:sz w:val="28"/>
        </w:rPr>
        <w:t>Les autres autorités administratives, y compris les ministres, ne disposent que d’un pouvoir règlementaire spécial, c'est-à-dire limité à une circonscription administrative déterminée :</w:t>
      </w:r>
      <w:r w:rsidR="00CA4382" w:rsidRPr="005E7D02">
        <w:rPr>
          <w:sz w:val="28"/>
        </w:rPr>
        <w:t xml:space="preserve"> le</w:t>
      </w:r>
      <w:r w:rsidRPr="005E7D02">
        <w:rPr>
          <w:sz w:val="28"/>
        </w:rPr>
        <w:t xml:space="preserve">s arrêtés. </w:t>
      </w:r>
    </w:p>
    <w:p w:rsidR="00FE2F9D" w:rsidRPr="005E7D02" w:rsidRDefault="00FE2F9D" w:rsidP="004A3019">
      <w:pPr>
        <w:rPr>
          <w:sz w:val="28"/>
        </w:rPr>
      </w:pPr>
    </w:p>
    <w:p w:rsidR="00FE2F9D" w:rsidRPr="005E7D02" w:rsidRDefault="00FE2F9D" w:rsidP="004A3019">
      <w:pPr>
        <w:rPr>
          <w:sz w:val="28"/>
        </w:rPr>
      </w:pPr>
      <w:r w:rsidRPr="005E7D02">
        <w:rPr>
          <w:sz w:val="28"/>
        </w:rPr>
        <w:t>L’article 34 énumère les matières dont lesquelles les règles sont fixées dans la loi :</w:t>
      </w:r>
    </w:p>
    <w:p w:rsidR="00FE2F9D" w:rsidRPr="005E7D02" w:rsidRDefault="00FE2F9D" w:rsidP="00FE2F9D">
      <w:pPr>
        <w:pStyle w:val="ListParagraph"/>
        <w:numPr>
          <w:ilvl w:val="0"/>
          <w:numId w:val="4"/>
        </w:numPr>
        <w:rPr>
          <w:sz w:val="28"/>
        </w:rPr>
      </w:pPr>
      <w:r w:rsidRPr="005E7D02">
        <w:rPr>
          <w:sz w:val="28"/>
        </w:rPr>
        <w:t>Droit et liberté des citoyens</w:t>
      </w:r>
    </w:p>
    <w:p w:rsidR="00FE2F9D" w:rsidRPr="005E7D02" w:rsidRDefault="00FE2F9D" w:rsidP="00FE2F9D">
      <w:pPr>
        <w:pStyle w:val="ListParagraph"/>
        <w:numPr>
          <w:ilvl w:val="0"/>
          <w:numId w:val="4"/>
        </w:numPr>
        <w:rPr>
          <w:sz w:val="28"/>
        </w:rPr>
      </w:pPr>
      <w:r w:rsidRPr="005E7D02">
        <w:rPr>
          <w:sz w:val="28"/>
        </w:rPr>
        <w:t>Définition des infractions pénales</w:t>
      </w:r>
    </w:p>
    <w:p w:rsidR="00FE2F9D" w:rsidRPr="005E7D02" w:rsidRDefault="00FE2F9D" w:rsidP="00FE2F9D">
      <w:pPr>
        <w:pStyle w:val="ListParagraph"/>
        <w:numPr>
          <w:ilvl w:val="0"/>
          <w:numId w:val="4"/>
        </w:numPr>
        <w:rPr>
          <w:sz w:val="28"/>
        </w:rPr>
      </w:pPr>
      <w:r w:rsidRPr="005E7D02">
        <w:rPr>
          <w:sz w:val="28"/>
        </w:rPr>
        <w:t>Droit du travail</w:t>
      </w:r>
    </w:p>
    <w:p w:rsidR="00FE2F9D" w:rsidRPr="005E7D02" w:rsidRDefault="00FE2F9D" w:rsidP="00FE2F9D">
      <w:pPr>
        <w:pStyle w:val="ListParagraph"/>
        <w:numPr>
          <w:ilvl w:val="0"/>
          <w:numId w:val="4"/>
        </w:numPr>
        <w:rPr>
          <w:sz w:val="28"/>
        </w:rPr>
      </w:pPr>
      <w:r w:rsidRPr="005E7D02">
        <w:rPr>
          <w:sz w:val="28"/>
        </w:rPr>
        <w:t>…</w:t>
      </w:r>
    </w:p>
    <w:p w:rsidR="00FE2F9D" w:rsidRPr="005E7D02" w:rsidRDefault="00FE2F9D" w:rsidP="00FE2F9D">
      <w:pPr>
        <w:rPr>
          <w:sz w:val="28"/>
        </w:rPr>
      </w:pPr>
      <w:r w:rsidRPr="005E7D02">
        <w:rPr>
          <w:sz w:val="28"/>
        </w:rPr>
        <w:t>Il précise que l’intensité du législateur varie selon els matières. Dans certaines, la loi fixe les règles ; dans d’autres, elle se contente de fixer les principes fondamentaux. Le gouvernement se charge alors de préciser les règles.</w:t>
      </w:r>
    </w:p>
    <w:p w:rsidR="00FE2F9D" w:rsidRPr="005E7D02" w:rsidRDefault="00FE2F9D" w:rsidP="00FE2F9D">
      <w:pPr>
        <w:rPr>
          <w:sz w:val="28"/>
        </w:rPr>
      </w:pPr>
    </w:p>
    <w:p w:rsidR="006052F1" w:rsidRPr="005E7D02" w:rsidRDefault="006052F1" w:rsidP="00FE2F9D">
      <w:pPr>
        <w:rPr>
          <w:sz w:val="28"/>
        </w:rPr>
      </w:pPr>
      <w:r w:rsidRPr="005E7D02">
        <w:rPr>
          <w:sz w:val="28"/>
        </w:rPr>
        <w:t>Domaines du règlement</w:t>
      </w:r>
      <w:r w:rsidR="004C3DEB" w:rsidRPr="005E7D02">
        <w:rPr>
          <w:sz w:val="28"/>
        </w:rPr>
        <w:t> :</w:t>
      </w:r>
    </w:p>
    <w:p w:rsidR="006052F1" w:rsidRPr="005E7D02" w:rsidRDefault="006052F1" w:rsidP="00FE2F9D">
      <w:pPr>
        <w:rPr>
          <w:sz w:val="28"/>
        </w:rPr>
      </w:pPr>
      <w:r w:rsidRPr="005E7D02">
        <w:rPr>
          <w:sz w:val="28"/>
        </w:rPr>
        <w:t xml:space="preserve">Les autorités administratives détiennent la compétence du droit commun pour éditer les règles nécessaires </w:t>
      </w:r>
    </w:p>
    <w:p w:rsidR="00FE2F9D" w:rsidRPr="005E7D02" w:rsidRDefault="006052F1" w:rsidP="006052F1">
      <w:pPr>
        <w:pStyle w:val="ListParagraph"/>
        <w:numPr>
          <w:ilvl w:val="0"/>
          <w:numId w:val="4"/>
        </w:numPr>
        <w:rPr>
          <w:sz w:val="28"/>
        </w:rPr>
      </w:pPr>
      <w:r w:rsidRPr="005E7D02">
        <w:rPr>
          <w:sz w:val="28"/>
        </w:rPr>
        <w:t>à l’application des lois </w:t>
      </w:r>
    </w:p>
    <w:p w:rsidR="00760C2D" w:rsidRDefault="006052F1" w:rsidP="006052F1">
      <w:pPr>
        <w:pStyle w:val="ListParagraph"/>
        <w:numPr>
          <w:ilvl w:val="0"/>
          <w:numId w:val="4"/>
        </w:numPr>
        <w:rPr>
          <w:sz w:val="28"/>
        </w:rPr>
      </w:pPr>
      <w:r w:rsidRPr="005E7D02">
        <w:rPr>
          <w:sz w:val="28"/>
        </w:rPr>
        <w:t xml:space="preserve">les règles dont les domaines ne sont pas </w:t>
      </w:r>
      <w:r w:rsidR="00D66535" w:rsidRPr="005E7D02">
        <w:rPr>
          <w:sz w:val="28"/>
        </w:rPr>
        <w:t>attribués</w:t>
      </w:r>
      <w:r w:rsidRPr="005E7D02">
        <w:rPr>
          <w:sz w:val="28"/>
        </w:rPr>
        <w:t xml:space="preserve"> aux législateurs</w:t>
      </w:r>
    </w:p>
    <w:p w:rsidR="00760C2D" w:rsidRDefault="00760C2D" w:rsidP="002850FD">
      <w:pPr>
        <w:outlineLvl w:val="0"/>
        <w:rPr>
          <w:sz w:val="28"/>
        </w:rPr>
      </w:pPr>
      <w:r>
        <w:rPr>
          <w:sz w:val="28"/>
        </w:rPr>
        <w:t>TD 2011-2012</w:t>
      </w:r>
    </w:p>
    <w:p w:rsidR="00760C2D" w:rsidRDefault="00760C2D" w:rsidP="00760C2D">
      <w:pPr>
        <w:rPr>
          <w:sz w:val="28"/>
        </w:rPr>
      </w:pPr>
      <w:r w:rsidRPr="005E7D02">
        <w:rPr>
          <w:sz w:val="28"/>
        </w:rPr>
        <w:t>Loi par toujours claire, ne dit pas tout.</w:t>
      </w:r>
    </w:p>
    <w:p w:rsidR="00760C2D" w:rsidRDefault="00760C2D" w:rsidP="00760C2D">
      <w:pPr>
        <w:rPr>
          <w:sz w:val="28"/>
        </w:rPr>
      </w:pPr>
      <w:r>
        <w:rPr>
          <w:sz w:val="28"/>
        </w:rPr>
        <w:t>Plus facile de modifier un règlement qu’une loi. C’est pourquoi certain domaine sont passés sous forme de règlement et pas de loi.</w:t>
      </w:r>
    </w:p>
    <w:p w:rsidR="00760C2D" w:rsidRDefault="00760C2D" w:rsidP="00760C2D">
      <w:pPr>
        <w:rPr>
          <w:sz w:val="28"/>
        </w:rPr>
      </w:pPr>
    </w:p>
    <w:p w:rsidR="00760C2D" w:rsidRPr="00760C2D" w:rsidRDefault="00760C2D" w:rsidP="002850FD">
      <w:pPr>
        <w:outlineLvl w:val="0"/>
        <w:rPr>
          <w:sz w:val="28"/>
          <w:u w:val="single"/>
        </w:rPr>
      </w:pPr>
      <w:r w:rsidRPr="00760C2D">
        <w:rPr>
          <w:sz w:val="28"/>
          <w:u w:val="single"/>
        </w:rPr>
        <w:t>Document 1 – dossier 1</w:t>
      </w:r>
      <w:r w:rsidRPr="00760C2D">
        <w:rPr>
          <w:sz w:val="28"/>
          <w:u w:val="single"/>
          <w:vertAlign w:val="superscript"/>
        </w:rPr>
        <w:t>er</w:t>
      </w:r>
      <w:r w:rsidRPr="00760C2D">
        <w:rPr>
          <w:sz w:val="28"/>
          <w:u w:val="single"/>
        </w:rPr>
        <w:t xml:space="preserve"> semestre</w:t>
      </w:r>
    </w:p>
    <w:p w:rsidR="00760C2D" w:rsidRDefault="00760C2D" w:rsidP="00760C2D">
      <w:pPr>
        <w:rPr>
          <w:sz w:val="28"/>
        </w:rPr>
      </w:pPr>
      <w:r>
        <w:rPr>
          <w:sz w:val="28"/>
        </w:rPr>
        <w:t>Problématique :</w:t>
      </w:r>
    </w:p>
    <w:p w:rsidR="0066557C" w:rsidRDefault="00760C2D" w:rsidP="00760C2D">
      <w:pPr>
        <w:rPr>
          <w:sz w:val="28"/>
        </w:rPr>
      </w:pPr>
      <w:r>
        <w:rPr>
          <w:sz w:val="28"/>
        </w:rPr>
        <w:t>Personnes condamnés par cours de justice militaire peuvent-ils faire annulés la décision de cette juridiction qui a été créé par une ordonnance ?</w:t>
      </w:r>
    </w:p>
    <w:p w:rsidR="0066557C" w:rsidRDefault="0066557C" w:rsidP="00760C2D">
      <w:pPr>
        <w:rPr>
          <w:sz w:val="28"/>
        </w:rPr>
      </w:pPr>
    </w:p>
    <w:p w:rsidR="00760C2D" w:rsidRDefault="00760C2D" w:rsidP="00760C2D">
      <w:pPr>
        <w:rPr>
          <w:sz w:val="28"/>
        </w:rPr>
      </w:pPr>
    </w:p>
    <w:p w:rsidR="00CF4CFE" w:rsidRPr="00CF4CFE" w:rsidRDefault="00CF4CFE" w:rsidP="00CF4CFE">
      <w:pPr>
        <w:pStyle w:val="ListParagraph"/>
        <w:numPr>
          <w:ilvl w:val="0"/>
          <w:numId w:val="5"/>
        </w:numPr>
        <w:rPr>
          <w:sz w:val="28"/>
        </w:rPr>
      </w:pPr>
      <w:r w:rsidRPr="00CF4CFE">
        <w:rPr>
          <w:sz w:val="28"/>
        </w:rPr>
        <w:t xml:space="preserve">Cons. </w:t>
      </w:r>
      <w:r>
        <w:rPr>
          <w:sz w:val="28"/>
        </w:rPr>
        <w:t>q</w:t>
      </w:r>
      <w:r w:rsidRPr="00CF4CFE">
        <w:rPr>
          <w:sz w:val="28"/>
        </w:rPr>
        <w:t>ue l’article 2…</w:t>
      </w:r>
    </w:p>
    <w:p w:rsidR="00F56154" w:rsidRDefault="00CF4CFE" w:rsidP="00CF4CFE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>L’ordonnance intervient exceptionnellement dans le domaine de la loi</w:t>
      </w:r>
    </w:p>
    <w:p w:rsidR="00CF4CFE" w:rsidRDefault="00F56154" w:rsidP="00CF4CFE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>Elle reste un acte administratif =&gt; on peut faire contre cette ordonnance un recours pour excès de pouvoir.</w:t>
      </w:r>
    </w:p>
    <w:p w:rsidR="00CF4CFE" w:rsidRPr="00CF4CFE" w:rsidRDefault="00CF4CFE" w:rsidP="00CF4CFE">
      <w:pPr>
        <w:pStyle w:val="ListParagraph"/>
        <w:numPr>
          <w:ilvl w:val="0"/>
          <w:numId w:val="5"/>
        </w:numPr>
        <w:rPr>
          <w:sz w:val="28"/>
        </w:rPr>
      </w:pPr>
      <w:r w:rsidRPr="00CF4CFE">
        <w:rPr>
          <w:sz w:val="28"/>
        </w:rPr>
        <w:t>Sans qu’il soit besoin de…</w:t>
      </w:r>
    </w:p>
    <w:p w:rsidR="00CF4CFE" w:rsidRPr="00AA34F7" w:rsidRDefault="00294729" w:rsidP="00AA34F7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>Impossibilité pour l’ordonnance d’at</w:t>
      </w:r>
      <w:r w:rsidR="00C052B2">
        <w:rPr>
          <w:sz w:val="28"/>
        </w:rPr>
        <w:t>tenter aux droits de la défense sauf nécessité.</w:t>
      </w:r>
    </w:p>
    <w:p w:rsidR="00AA34F7" w:rsidRDefault="00CF4CFE" w:rsidP="00AA34F7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Cons. qu’il ne résulte pas de l’instruction…</w:t>
      </w:r>
    </w:p>
    <w:p w:rsidR="00AA34F7" w:rsidRPr="00AA34F7" w:rsidRDefault="004A598F" w:rsidP="00AA34F7">
      <w:pPr>
        <w:pStyle w:val="ListParagraph"/>
        <w:numPr>
          <w:ilvl w:val="0"/>
          <w:numId w:val="6"/>
        </w:numPr>
        <w:rPr>
          <w:sz w:val="28"/>
        </w:rPr>
      </w:pPr>
      <w:r w:rsidRPr="00AA34F7">
        <w:rPr>
          <w:sz w:val="28"/>
        </w:rPr>
        <w:t>Il existe une atteinte aux droits de la défense (pas de recours possible)</w:t>
      </w:r>
    </w:p>
    <w:p w:rsidR="004A598F" w:rsidRPr="00AA34F7" w:rsidRDefault="004A598F" w:rsidP="00AA34F7">
      <w:pPr>
        <w:pStyle w:val="ListParagraph"/>
        <w:ind w:left="1080"/>
        <w:rPr>
          <w:sz w:val="28"/>
        </w:rPr>
      </w:pPr>
    </w:p>
    <w:p w:rsidR="00F00118" w:rsidRDefault="00F00118" w:rsidP="004A598F">
      <w:pPr>
        <w:pStyle w:val="ListParagraph"/>
        <w:ind w:left="1080"/>
        <w:rPr>
          <w:sz w:val="28"/>
        </w:rPr>
      </w:pPr>
    </w:p>
    <w:p w:rsidR="00F00118" w:rsidRDefault="00F00118" w:rsidP="00CF4CFE">
      <w:pPr>
        <w:pStyle w:val="ListParagraph"/>
        <w:rPr>
          <w:sz w:val="28"/>
        </w:rPr>
      </w:pPr>
    </w:p>
    <w:p w:rsidR="00294729" w:rsidRDefault="00F00118" w:rsidP="00FA485A">
      <w:pPr>
        <w:ind w:firstLine="708"/>
        <w:rPr>
          <w:sz w:val="28"/>
        </w:rPr>
      </w:pPr>
      <w:r w:rsidRPr="00F00118">
        <w:rPr>
          <w:sz w:val="28"/>
        </w:rPr>
        <w:t>Ordonnance qui créé la cours militaire de justice peut être attaqué devant le juge administratif</w:t>
      </w:r>
      <w:r>
        <w:rPr>
          <w:sz w:val="28"/>
        </w:rPr>
        <w:t xml:space="preserve"> car elle conserve la valeur d’un règlement et non d’une loi.</w:t>
      </w:r>
      <w:r w:rsidR="000A4A49">
        <w:rPr>
          <w:sz w:val="28"/>
        </w:rPr>
        <w:t xml:space="preserve"> Il faut donc commencer par attaquer l’ordonnance créant cette cours militaire de justice devant le juge administratif.</w:t>
      </w:r>
    </w:p>
    <w:p w:rsidR="004B1900" w:rsidRDefault="00294729" w:rsidP="001D5934">
      <w:pPr>
        <w:ind w:firstLine="708"/>
        <w:rPr>
          <w:sz w:val="28"/>
        </w:rPr>
      </w:pPr>
      <w:r w:rsidRPr="001D5934">
        <w:rPr>
          <w:sz w:val="28"/>
        </w:rPr>
        <w:t>Texte qui créé la juridiction ne peut pas porter atteinte au droit</w:t>
      </w:r>
      <w:r w:rsidR="001D5934" w:rsidRPr="001D5934">
        <w:rPr>
          <w:sz w:val="28"/>
        </w:rPr>
        <w:t xml:space="preserve"> de la défense sauf nécessité.</w:t>
      </w:r>
      <w:r w:rsidR="00C052B2">
        <w:rPr>
          <w:sz w:val="28"/>
        </w:rPr>
        <w:t xml:space="preserve"> </w:t>
      </w:r>
    </w:p>
    <w:p w:rsidR="00FA485A" w:rsidRPr="001D5934" w:rsidRDefault="004B1900" w:rsidP="001D5934">
      <w:pPr>
        <w:ind w:firstLine="708"/>
        <w:rPr>
          <w:sz w:val="28"/>
        </w:rPr>
      </w:pPr>
      <w:r>
        <w:rPr>
          <w:sz w:val="28"/>
        </w:rPr>
        <w:t>L’ordonnance est illégale =&gt; annulation de la  cour militaire de justice.</w:t>
      </w:r>
    </w:p>
    <w:p w:rsidR="00FA485A" w:rsidRPr="001D5934" w:rsidRDefault="00FA485A" w:rsidP="00CF4CFE">
      <w:pPr>
        <w:pStyle w:val="ListParagraph"/>
        <w:rPr>
          <w:sz w:val="28"/>
        </w:rPr>
      </w:pPr>
    </w:p>
    <w:p w:rsidR="00FA485A" w:rsidRDefault="00FA485A" w:rsidP="00CF4CFE">
      <w:pPr>
        <w:pStyle w:val="ListParagraph"/>
        <w:rPr>
          <w:sz w:val="28"/>
        </w:rPr>
      </w:pPr>
    </w:p>
    <w:p w:rsidR="00760C2D" w:rsidRPr="00CF4CFE" w:rsidRDefault="00760C2D" w:rsidP="00CF4CFE">
      <w:pPr>
        <w:pStyle w:val="ListParagraph"/>
        <w:rPr>
          <w:sz w:val="28"/>
        </w:rPr>
      </w:pPr>
    </w:p>
    <w:p w:rsidR="004A15F1" w:rsidRDefault="00CF4CFE" w:rsidP="00760C2D">
      <w:pPr>
        <w:rPr>
          <w:sz w:val="28"/>
        </w:rPr>
      </w:pPr>
      <w:r>
        <w:rPr>
          <w:sz w:val="28"/>
        </w:rPr>
        <w:t>La loi est une norme supérieur au règlement car le règlement à une valeur démocratique inférieur.</w:t>
      </w:r>
      <w:r w:rsidR="00681797">
        <w:rPr>
          <w:sz w:val="28"/>
        </w:rPr>
        <w:t xml:space="preserve"> Quand on conteste la conformité à la loi du règlement on va devant le juge administratif.</w:t>
      </w:r>
    </w:p>
    <w:p w:rsidR="00F00118" w:rsidRDefault="00FE5098" w:rsidP="00760C2D">
      <w:pPr>
        <w:rPr>
          <w:sz w:val="28"/>
        </w:rPr>
      </w:pPr>
      <w:r>
        <w:rPr>
          <w:sz w:val="28"/>
        </w:rPr>
        <w:t>Ordonnance est un acte administratif elle est donc susceptible d’être contestée.</w:t>
      </w:r>
    </w:p>
    <w:p w:rsidR="00F56154" w:rsidRDefault="00F56154" w:rsidP="00760C2D">
      <w:pPr>
        <w:rPr>
          <w:sz w:val="28"/>
        </w:rPr>
      </w:pPr>
    </w:p>
    <w:p w:rsidR="00760C2D" w:rsidRDefault="00760C2D" w:rsidP="00760C2D">
      <w:pPr>
        <w:rPr>
          <w:sz w:val="28"/>
        </w:rPr>
      </w:pPr>
    </w:p>
    <w:p w:rsidR="006052F1" w:rsidRPr="00760C2D" w:rsidRDefault="006052F1" w:rsidP="00760C2D">
      <w:pPr>
        <w:rPr>
          <w:sz w:val="28"/>
        </w:rPr>
      </w:pPr>
    </w:p>
    <w:sectPr w:rsidR="006052F1" w:rsidRPr="00760C2D" w:rsidSect="00B0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E5B5987"/>
    <w:multiLevelType w:val="hybridMultilevel"/>
    <w:tmpl w:val="9EDCDBE4"/>
    <w:lvl w:ilvl="0" w:tplc="D0EC754E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601210"/>
    <w:multiLevelType w:val="hybridMultilevel"/>
    <w:tmpl w:val="E016312C"/>
    <w:lvl w:ilvl="0" w:tplc="A6ACB1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53912"/>
    <w:multiLevelType w:val="hybridMultilevel"/>
    <w:tmpl w:val="F6C805A8"/>
    <w:lvl w:ilvl="0" w:tplc="87AC7C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03CC0"/>
    <w:multiLevelType w:val="hybridMultilevel"/>
    <w:tmpl w:val="AF4EE08A"/>
    <w:lvl w:ilvl="0" w:tplc="6D5860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31774"/>
    <w:multiLevelType w:val="hybridMultilevel"/>
    <w:tmpl w:val="32F420A0"/>
    <w:lvl w:ilvl="0" w:tplc="35FC64B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00115E"/>
    <w:multiLevelType w:val="hybridMultilevel"/>
    <w:tmpl w:val="7D76B95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hyphenationZone w:val="425"/>
  <w:characterSpacingControl w:val="doNotCompress"/>
  <w:compat/>
  <w:rsids>
    <w:rsidRoot w:val="00AB108D"/>
    <w:rsid w:val="000A4A49"/>
    <w:rsid w:val="000E18C0"/>
    <w:rsid w:val="00173228"/>
    <w:rsid w:val="001D5934"/>
    <w:rsid w:val="00246D58"/>
    <w:rsid w:val="002850FD"/>
    <w:rsid w:val="00294729"/>
    <w:rsid w:val="002F456D"/>
    <w:rsid w:val="0032273C"/>
    <w:rsid w:val="0033646B"/>
    <w:rsid w:val="003C44DB"/>
    <w:rsid w:val="003F0679"/>
    <w:rsid w:val="004A15F1"/>
    <w:rsid w:val="004A3019"/>
    <w:rsid w:val="004A598F"/>
    <w:rsid w:val="004B1900"/>
    <w:rsid w:val="004C3DEB"/>
    <w:rsid w:val="00504C7F"/>
    <w:rsid w:val="00526346"/>
    <w:rsid w:val="0054718B"/>
    <w:rsid w:val="00567CC8"/>
    <w:rsid w:val="005E7D02"/>
    <w:rsid w:val="006052F1"/>
    <w:rsid w:val="0066557C"/>
    <w:rsid w:val="00681797"/>
    <w:rsid w:val="00760C2D"/>
    <w:rsid w:val="007632A2"/>
    <w:rsid w:val="00794C98"/>
    <w:rsid w:val="007D255F"/>
    <w:rsid w:val="007D2CE3"/>
    <w:rsid w:val="008F0F0C"/>
    <w:rsid w:val="0099752C"/>
    <w:rsid w:val="009F5D3B"/>
    <w:rsid w:val="00AA34F7"/>
    <w:rsid w:val="00AB108D"/>
    <w:rsid w:val="00B06D64"/>
    <w:rsid w:val="00B4510A"/>
    <w:rsid w:val="00BB0B1E"/>
    <w:rsid w:val="00BD1C3F"/>
    <w:rsid w:val="00C052B2"/>
    <w:rsid w:val="00C215D8"/>
    <w:rsid w:val="00C22BBC"/>
    <w:rsid w:val="00C96BD5"/>
    <w:rsid w:val="00CA4382"/>
    <w:rsid w:val="00CA7F58"/>
    <w:rsid w:val="00CF4CFE"/>
    <w:rsid w:val="00D072F2"/>
    <w:rsid w:val="00D278B9"/>
    <w:rsid w:val="00D66535"/>
    <w:rsid w:val="00DA76F9"/>
    <w:rsid w:val="00E927C2"/>
    <w:rsid w:val="00F00118"/>
    <w:rsid w:val="00F56154"/>
    <w:rsid w:val="00FA485A"/>
    <w:rsid w:val="00FE2F9D"/>
    <w:rsid w:val="00FE5098"/>
  </w:rsids>
  <m:mathPr>
    <m:mathFont m:val="Lucida Grand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6F9"/>
    <w:pPr>
      <w:spacing w:after="0"/>
      <w:jc w:val="both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AB10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0B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497</Words>
  <Characters>2639</Characters>
  <Application>Microsoft Word 12.0.0</Application>
  <DocSecurity>0</DocSecurity>
  <Lines>72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3110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FADET Inès</dc:creator>
  <cp:keywords/>
  <dc:description/>
  <cp:lastModifiedBy>GEA Nantes</cp:lastModifiedBy>
  <cp:revision>24</cp:revision>
  <dcterms:created xsi:type="dcterms:W3CDTF">2009-11-13T12:58:00Z</dcterms:created>
  <dcterms:modified xsi:type="dcterms:W3CDTF">2012-03-10T17:37:00Z</dcterms:modified>
  <cp:category/>
</cp:coreProperties>
</file>